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EE" w:rsidRPr="00D20BE9" w:rsidRDefault="00B92A60" w:rsidP="00D20BE9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20BE9">
        <w:rPr>
          <w:rFonts w:ascii="Times New Roman" w:hAnsi="Times New Roman" w:cs="Times New Roman"/>
          <w:b/>
          <w:caps/>
          <w:sz w:val="28"/>
          <w:szCs w:val="28"/>
          <w:lang w:val="uk-UA"/>
        </w:rPr>
        <w:t>Довідка про консультації</w:t>
      </w:r>
    </w:p>
    <w:p w:rsidR="00B92A60" w:rsidRPr="00D20BE9" w:rsidRDefault="00D20BE9" w:rsidP="00F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BE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92A60" w:rsidRPr="00D20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0BE9">
        <w:rPr>
          <w:rFonts w:ascii="Times New Roman" w:hAnsi="Times New Roman" w:cs="Times New Roman"/>
          <w:b/>
          <w:sz w:val="28"/>
          <w:szCs w:val="28"/>
          <w:lang w:val="uk-UA"/>
        </w:rPr>
        <w:t>виконавчими органами  влади</w:t>
      </w:r>
    </w:p>
    <w:p w:rsidR="00B92A60" w:rsidRPr="006B17A3" w:rsidRDefault="00D20BE9" w:rsidP="00FC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B92A60">
        <w:rPr>
          <w:rFonts w:ascii="Times New Roman" w:hAnsi="Times New Roman" w:cs="Times New Roman"/>
          <w:sz w:val="28"/>
          <w:szCs w:val="28"/>
          <w:lang w:val="uk-UA"/>
        </w:rPr>
        <w:t xml:space="preserve">одо проєкту Програми економічного і соціального розвитку </w:t>
      </w:r>
      <w:proofErr w:type="spellStart"/>
      <w:r w:rsidR="00B92A60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B92A60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076D1D">
        <w:rPr>
          <w:rFonts w:ascii="Times New Roman" w:hAnsi="Times New Roman" w:cs="Times New Roman"/>
          <w:sz w:val="28"/>
          <w:szCs w:val="28"/>
          <w:lang w:val="uk-UA"/>
        </w:rPr>
        <w:t>2-2024 роки</w:t>
      </w:r>
      <w:r w:rsidR="00B92A60">
        <w:rPr>
          <w:rFonts w:ascii="Times New Roman" w:hAnsi="Times New Roman" w:cs="Times New Roman"/>
          <w:sz w:val="28"/>
          <w:szCs w:val="28"/>
          <w:lang w:val="uk-UA"/>
        </w:rPr>
        <w:t xml:space="preserve"> та звіту про СЕО Програми економічного  і соціального розвитку </w:t>
      </w:r>
      <w:proofErr w:type="spellStart"/>
      <w:r w:rsidR="00B92A60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B92A60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076D1D">
        <w:rPr>
          <w:rFonts w:ascii="Times New Roman" w:hAnsi="Times New Roman" w:cs="Times New Roman"/>
          <w:sz w:val="28"/>
          <w:szCs w:val="28"/>
          <w:lang w:val="uk-UA"/>
        </w:rPr>
        <w:t>2-2024 роки</w:t>
      </w:r>
    </w:p>
    <w:p w:rsidR="00FC2548" w:rsidRDefault="00FC2548" w:rsidP="00FC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A60" w:rsidRDefault="006C4678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вимог </w:t>
      </w:r>
      <w:r w:rsidR="00DD55E7" w:rsidRPr="005C54D4">
        <w:rPr>
          <w:rFonts w:ascii="Times New Roman" w:hAnsi="Times New Roman" w:cs="Times New Roman"/>
          <w:sz w:val="28"/>
          <w:szCs w:val="28"/>
          <w:lang w:val="uk-UA"/>
        </w:rPr>
        <w:t>Закону України «Про стратегічну екологічну оцінку»</w:t>
      </w:r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55E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економічного і соціального розвитку </w:t>
      </w:r>
      <w:proofErr w:type="spellStart"/>
      <w:r w:rsidR="00DD55E7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A12109">
        <w:rPr>
          <w:rFonts w:ascii="Times New Roman" w:hAnsi="Times New Roman" w:cs="Times New Roman"/>
          <w:sz w:val="28"/>
          <w:szCs w:val="28"/>
          <w:lang w:val="uk-UA"/>
        </w:rPr>
        <w:t>2-2024 роки</w:t>
      </w:r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 (далі-Програма), звіт про СЕО Програми економічного  і соціального розвитку </w:t>
      </w:r>
      <w:proofErr w:type="spellStart"/>
      <w:r w:rsidR="00DD55E7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A12109">
        <w:rPr>
          <w:rFonts w:ascii="Times New Roman" w:hAnsi="Times New Roman" w:cs="Times New Roman"/>
          <w:sz w:val="28"/>
          <w:szCs w:val="28"/>
          <w:lang w:val="uk-UA"/>
        </w:rPr>
        <w:t>2-2024 роки</w:t>
      </w:r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 (далі – Звіт про СЕО) та повідомлення про їх оприлюднення:</w:t>
      </w:r>
    </w:p>
    <w:p w:rsidR="00DD55E7" w:rsidRDefault="00DD55E7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5E7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D55E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210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D5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109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DD55E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A121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D55E7">
        <w:rPr>
          <w:rFonts w:ascii="Times New Roman" w:hAnsi="Times New Roman" w:cs="Times New Roman"/>
          <w:sz w:val="28"/>
          <w:szCs w:val="28"/>
          <w:lang w:val="uk-UA"/>
        </w:rPr>
        <w:t xml:space="preserve"> року розміщено на офіційному веб-сай</w:t>
      </w:r>
      <w:r>
        <w:rPr>
          <w:rFonts w:ascii="Times New Roman" w:hAnsi="Times New Roman" w:cs="Times New Roman"/>
          <w:sz w:val="28"/>
          <w:szCs w:val="28"/>
          <w:lang w:val="uk-UA"/>
        </w:rPr>
        <w:t>ті Миколаївської міської ради (розділ</w:t>
      </w:r>
      <w:r w:rsidRPr="00DD55E7">
        <w:rPr>
          <w:rFonts w:ascii="Times New Roman" w:hAnsi="Times New Roman" w:cs="Times New Roman"/>
          <w:sz w:val="28"/>
          <w:szCs w:val="28"/>
          <w:lang w:val="uk-UA"/>
        </w:rPr>
        <w:t xml:space="preserve"> «Інформація щодо стратегічної екологічної оцінки» - «Інвестиційна та зовнішньоекономічна діяльність» - «Економіка та фінанси»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7D0DCA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овідомлення про оприлюднення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та звіту про СЕО опубліковано у друкованих засобах масової інформації, а саме:</w:t>
      </w:r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у газет</w:t>
      </w:r>
      <w:r w:rsidR="00C35228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1B33DC">
        <w:rPr>
          <w:rFonts w:ascii="Times New Roman" w:hAnsi="Times New Roman" w:cs="Times New Roman"/>
          <w:sz w:val="28"/>
          <w:szCs w:val="28"/>
          <w:lang w:val="uk-UA"/>
        </w:rPr>
        <w:t>Южная</w:t>
      </w:r>
      <w:proofErr w:type="spellEnd"/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правда» та «</w:t>
      </w:r>
      <w:proofErr w:type="spellStart"/>
      <w:r w:rsidR="001B33DC">
        <w:rPr>
          <w:rFonts w:ascii="Times New Roman" w:hAnsi="Times New Roman" w:cs="Times New Roman"/>
          <w:sz w:val="28"/>
          <w:szCs w:val="28"/>
          <w:lang w:val="uk-UA"/>
        </w:rPr>
        <w:t>Вечерний</w:t>
      </w:r>
      <w:proofErr w:type="spellEnd"/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33DC">
        <w:rPr>
          <w:rFonts w:ascii="Times New Roman" w:hAnsi="Times New Roman" w:cs="Times New Roman"/>
          <w:sz w:val="28"/>
          <w:szCs w:val="28"/>
          <w:lang w:val="uk-UA"/>
        </w:rPr>
        <w:t>Николаев</w:t>
      </w:r>
      <w:proofErr w:type="spellEnd"/>
      <w:r w:rsidR="001B33D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1B33DC" w:rsidRDefault="001B33DC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Направлено на розгляд </w:t>
      </w:r>
      <w:r w:rsidR="003A202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зауважень та пропозицій до:</w:t>
      </w:r>
    </w:p>
    <w:p w:rsidR="00CB424C" w:rsidRDefault="004B062D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5530A"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 w:rsidR="00CB424C">
        <w:rPr>
          <w:rFonts w:ascii="Times New Roman" w:hAnsi="Times New Roman" w:cs="Times New Roman"/>
          <w:sz w:val="28"/>
          <w:szCs w:val="28"/>
          <w:lang w:val="uk-UA"/>
        </w:rPr>
        <w:t xml:space="preserve"> захисту довкілля та природних ресурсів України</w:t>
      </w:r>
      <w:r w:rsidR="005553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33DC" w:rsidRDefault="001B33DC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5530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E193B">
        <w:rPr>
          <w:rFonts w:ascii="Times New Roman" w:hAnsi="Times New Roman" w:cs="Times New Roman"/>
          <w:sz w:val="28"/>
          <w:szCs w:val="28"/>
          <w:lang w:val="uk-UA"/>
        </w:rPr>
        <w:t>іністерства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</w:t>
      </w:r>
      <w:r w:rsidR="00CB424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33DC" w:rsidRDefault="00AE193B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управління</w:t>
      </w:r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охорони </w:t>
      </w:r>
      <w:r w:rsidR="004B062D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30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 w:rsidR="001B33DC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адміністрації;</w:t>
      </w:r>
    </w:p>
    <w:p w:rsidR="004B062D" w:rsidRDefault="004B062D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управління екології та природних ресурсів </w:t>
      </w:r>
      <w:r w:rsidR="0055530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адміністрації.</w:t>
      </w:r>
    </w:p>
    <w:p w:rsidR="00AE193B" w:rsidRDefault="00AE193B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 подання зауважень і пропозицій становить 30 днів – з 2</w:t>
      </w:r>
      <w:r w:rsidR="00A1210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109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A1210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D6BA1" w:rsidRDefault="0055530A" w:rsidP="007A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 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час розгляду альтернативних 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рішень та їх екологічних наслідків у процесі СЕО </w:t>
      </w:r>
      <w:proofErr w:type="spellStart"/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кту</w:t>
      </w:r>
      <w:proofErr w:type="spellEnd"/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Програми економічного  і соціального розвитку </w:t>
      </w:r>
      <w:proofErr w:type="spellStart"/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м.Миколаєва</w:t>
      </w:r>
      <w:proofErr w:type="spellEnd"/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</w:t>
      </w:r>
      <w:r w:rsidR="00A12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2-2024 роки</w:t>
      </w:r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було розглянуто</w:t>
      </w:r>
      <w:r w:rsidR="007D6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7A0E1E" w:rsidRPr="007D6BA1" w:rsidRDefault="007D6BA1" w:rsidP="007D6B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альтернативний варіант №1 </w:t>
      </w:r>
      <w:r w:rsidR="0055530A" w:rsidRPr="007D6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«нульовий» сценарій, </w:t>
      </w:r>
      <w:r w:rsidR="00CC541A" w:rsidRPr="007D6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який</w:t>
      </w:r>
      <w:r w:rsidR="0055530A" w:rsidRPr="007D6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 передбачає впровадження змін та заходів, запропонованих Програмою</w:t>
      </w:r>
      <w:r w:rsidR="00275CD1" w:rsidRPr="007D6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«Н</w:t>
      </w:r>
      <w:r w:rsidR="0055530A" w:rsidRPr="007D6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ульовий» сценарій – прогнозування та оцінка ситуації у випадку не затвердження вищезазначеного документа державного планування</w:t>
      </w:r>
      <w:r w:rsidR="007A0E1E" w:rsidRPr="007D6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A0E1E" w:rsidRPr="007D6BA1">
        <w:rPr>
          <w:rFonts w:ascii="Times New Roman" w:hAnsi="Times New Roman"/>
          <w:color w:val="000000"/>
          <w:sz w:val="28"/>
          <w:szCs w:val="28"/>
          <w:lang w:val="uk-UA" w:eastAsia="ru-RU"/>
        </w:rPr>
        <w:t>що</w:t>
      </w:r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призвести</w:t>
      </w:r>
      <w:proofErr w:type="spellEnd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погіршення</w:t>
      </w:r>
      <w:proofErr w:type="spellEnd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соціально-економічної</w:t>
      </w:r>
      <w:proofErr w:type="spellEnd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екологічної</w:t>
      </w:r>
      <w:proofErr w:type="spellEnd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ситуації</w:t>
      </w:r>
      <w:proofErr w:type="spellEnd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як </w:t>
      </w:r>
      <w:proofErr w:type="spellStart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наслідок</w:t>
      </w:r>
      <w:proofErr w:type="spellEnd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відобразитися</w:t>
      </w:r>
      <w:proofErr w:type="spellEnd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здоров’ї</w:t>
      </w:r>
      <w:proofErr w:type="spellEnd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="007A0E1E" w:rsidRPr="007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6BA1" w:rsidRPr="007D6BA1" w:rsidRDefault="007D6BA1" w:rsidP="007D6B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Pr="007D6BA1">
        <w:rPr>
          <w:rFonts w:ascii="Times New Roman" w:hAnsi="Times New Roman"/>
          <w:sz w:val="28"/>
          <w:szCs w:val="28"/>
          <w:lang w:val="uk-UA"/>
        </w:rPr>
        <w:t>льтернативни</w:t>
      </w:r>
      <w:r w:rsidR="005C1D1B">
        <w:rPr>
          <w:rFonts w:ascii="Times New Roman" w:hAnsi="Times New Roman"/>
          <w:sz w:val="28"/>
          <w:szCs w:val="28"/>
          <w:lang w:val="uk-UA"/>
        </w:rPr>
        <w:t>й</w:t>
      </w:r>
      <w:r w:rsidRPr="007D6BA1">
        <w:rPr>
          <w:rFonts w:ascii="Times New Roman" w:hAnsi="Times New Roman"/>
          <w:sz w:val="28"/>
          <w:szCs w:val="28"/>
          <w:lang w:val="uk-UA"/>
        </w:rPr>
        <w:t xml:space="preserve"> варіант № 2</w:t>
      </w:r>
      <w:r w:rsidRPr="007D6BA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D6BA1">
        <w:rPr>
          <w:rFonts w:ascii="Times New Roman" w:hAnsi="Times New Roman"/>
          <w:sz w:val="28"/>
          <w:szCs w:val="28"/>
          <w:lang w:val="uk-UA"/>
        </w:rPr>
        <w:t>є відмова від деяких завдань Програми економічного і соціального розвитку м. Миколаєва на 2022-2024 роки. Дана альтернатива є недоцільною, тому що всі завдання та заходи Програми спрямовані на економічний та соціальний розвиток  громади, у тому числі на покращ</w:t>
      </w:r>
      <w:r w:rsidR="00BC5FC1" w:rsidRPr="00BC5FC1">
        <w:rPr>
          <w:rFonts w:ascii="Times New Roman" w:hAnsi="Times New Roman"/>
          <w:sz w:val="28"/>
          <w:szCs w:val="28"/>
        </w:rPr>
        <w:t>а</w:t>
      </w:r>
      <w:proofErr w:type="spellStart"/>
      <w:r w:rsidRPr="007D6BA1">
        <w:rPr>
          <w:rFonts w:ascii="Times New Roman" w:hAnsi="Times New Roman"/>
          <w:sz w:val="28"/>
          <w:szCs w:val="28"/>
          <w:lang w:val="uk-UA"/>
        </w:rPr>
        <w:t>ння</w:t>
      </w:r>
      <w:proofErr w:type="spellEnd"/>
      <w:r w:rsidRPr="007D6BA1">
        <w:rPr>
          <w:rFonts w:ascii="Times New Roman" w:hAnsi="Times New Roman"/>
          <w:sz w:val="28"/>
          <w:szCs w:val="28"/>
          <w:lang w:val="uk-UA"/>
        </w:rPr>
        <w:t xml:space="preserve"> навколишнього природного середовища, умов життєдіяльності населення та стану його здоров’я.</w:t>
      </w:r>
    </w:p>
    <w:p w:rsidR="007D6BA1" w:rsidRPr="007D6BA1" w:rsidRDefault="007D6BA1" w:rsidP="007D6BA1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0E1E" w:rsidRDefault="007A0E1E" w:rsidP="007A0E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22A1D" w:rsidRPr="007A0E1E" w:rsidRDefault="00522A1D" w:rsidP="00555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22A1D" w:rsidRDefault="00522A1D" w:rsidP="007D6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ectPr w:rsidR="00522A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A1D" w:rsidRDefault="00DA7578" w:rsidP="00D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522A1D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522A1D" w:rsidRDefault="00522A1D" w:rsidP="00DA757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довідки про консультації </w:t>
      </w:r>
    </w:p>
    <w:p w:rsidR="00522A1D" w:rsidRDefault="00522A1D" w:rsidP="00DA757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виконавчими органами влади</w:t>
      </w: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599"/>
        <w:gridCol w:w="2400"/>
        <w:gridCol w:w="2010"/>
        <w:gridCol w:w="3615"/>
        <w:gridCol w:w="2492"/>
        <w:gridCol w:w="4188"/>
      </w:tblGrid>
      <w:tr w:rsidR="00DD553E" w:rsidRPr="00DD553E" w:rsidTr="00BC5FC1">
        <w:tc>
          <w:tcPr>
            <w:tcW w:w="599" w:type="dxa"/>
          </w:tcPr>
          <w:p w:rsidR="00522A1D" w:rsidRPr="00DD553E" w:rsidRDefault="00522A1D" w:rsidP="00304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00" w:type="dxa"/>
          </w:tcPr>
          <w:p w:rsidR="00522A1D" w:rsidRPr="00DD553E" w:rsidRDefault="00522A1D" w:rsidP="00304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Уповноважений орган</w:t>
            </w:r>
          </w:p>
        </w:tc>
        <w:tc>
          <w:tcPr>
            <w:tcW w:w="2010" w:type="dxa"/>
          </w:tcPr>
          <w:p w:rsidR="00522A1D" w:rsidRPr="00DD553E" w:rsidRDefault="00522A1D" w:rsidP="00304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Редакція частини </w:t>
            </w:r>
            <w:proofErr w:type="spellStart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проєкту</w:t>
            </w:r>
            <w:proofErr w:type="spellEnd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ДДП /Звіту про СЕО, до якого висловлено зауваження (пропозиції)</w:t>
            </w:r>
          </w:p>
        </w:tc>
        <w:tc>
          <w:tcPr>
            <w:tcW w:w="3615" w:type="dxa"/>
          </w:tcPr>
          <w:p w:rsidR="00522A1D" w:rsidRPr="00DD553E" w:rsidRDefault="00522A1D" w:rsidP="00304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Зауваження/пропозиція</w:t>
            </w:r>
          </w:p>
        </w:tc>
        <w:tc>
          <w:tcPr>
            <w:tcW w:w="2492" w:type="dxa"/>
          </w:tcPr>
          <w:p w:rsidR="00522A1D" w:rsidRPr="00DD553E" w:rsidRDefault="00522A1D" w:rsidP="00304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Спосіб врахування (враховано/не враховано/враховано частково)</w:t>
            </w:r>
          </w:p>
        </w:tc>
        <w:tc>
          <w:tcPr>
            <w:tcW w:w="4188" w:type="dxa"/>
          </w:tcPr>
          <w:p w:rsidR="00522A1D" w:rsidRPr="00DD553E" w:rsidRDefault="00522A1D" w:rsidP="00304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DD553E" w:rsidRPr="00DD553E" w:rsidTr="00BC5FC1">
        <w:tc>
          <w:tcPr>
            <w:tcW w:w="15304" w:type="dxa"/>
            <w:gridSpan w:val="6"/>
          </w:tcPr>
          <w:p w:rsidR="00522A1D" w:rsidRPr="00DD553E" w:rsidRDefault="00522A1D" w:rsidP="00A12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 </w:t>
            </w:r>
            <w:proofErr w:type="spellStart"/>
            <w:r w:rsidRPr="00DD5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проєкту</w:t>
            </w:r>
            <w:proofErr w:type="spellEnd"/>
            <w:r w:rsidRPr="00DD5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Програми економічного і соціального розвитку </w:t>
            </w:r>
            <w:proofErr w:type="spellStart"/>
            <w:r w:rsidRPr="00DD5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м.Миколаєва</w:t>
            </w:r>
            <w:proofErr w:type="spellEnd"/>
            <w:r w:rsidRPr="00DD5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на 202</w:t>
            </w:r>
            <w:r w:rsidR="00A12109" w:rsidRPr="00DD5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2-2024 роки</w:t>
            </w:r>
          </w:p>
        </w:tc>
      </w:tr>
      <w:tr w:rsidR="00DD553E" w:rsidRPr="00633A2E" w:rsidTr="00BC5FC1">
        <w:tc>
          <w:tcPr>
            <w:tcW w:w="599" w:type="dxa"/>
          </w:tcPr>
          <w:p w:rsidR="00522A1D" w:rsidRPr="00DD553E" w:rsidRDefault="00522A1D" w:rsidP="00304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400" w:type="dxa"/>
          </w:tcPr>
          <w:p w:rsidR="00522A1D" w:rsidRPr="00DD553E" w:rsidRDefault="00522A1D" w:rsidP="003043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Міністерство захисту довкілля та природних ресурсів України</w:t>
            </w:r>
          </w:p>
        </w:tc>
        <w:tc>
          <w:tcPr>
            <w:tcW w:w="2010" w:type="dxa"/>
          </w:tcPr>
          <w:p w:rsidR="00522A1D" w:rsidRPr="00DD553E" w:rsidRDefault="006B17A3" w:rsidP="00304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615" w:type="dxa"/>
          </w:tcPr>
          <w:p w:rsidR="00E14BD3" w:rsidRPr="00DD553E" w:rsidRDefault="00510A30" w:rsidP="002177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Направлено лист від 23</w:t>
            </w:r>
            <w:r w:rsidR="00E14BD3"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</w:t>
            </w: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E14BD3"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.202</w:t>
            </w: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 №7794</w:t>
            </w:r>
            <w:r w:rsidR="00E14BD3"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/02.02.01-22/02.03/14</w:t>
            </w: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/21</w:t>
            </w:r>
          </w:p>
          <w:p w:rsidR="00522A1D" w:rsidRPr="00DD553E" w:rsidRDefault="004333DC" w:rsidP="008256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Програмі слід передбачити належне врахування питань забезпечення реалізації завдань та заходів щодо охорони довкілля та сталого використання природних ресурсів, визначених відповідними планами, стратегіями, програмами та іншими документами загальнодержавного рівня</w:t>
            </w:r>
            <w:r w:rsidR="00825617"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47AFD"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(лист від 29.11.2021 №25/5-21/25319-21)</w:t>
            </w:r>
          </w:p>
        </w:tc>
        <w:tc>
          <w:tcPr>
            <w:tcW w:w="2492" w:type="dxa"/>
          </w:tcPr>
          <w:p w:rsidR="00E14BD3" w:rsidRPr="00DD553E" w:rsidRDefault="00E14BD3" w:rsidP="00304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14BD3" w:rsidRPr="00DD553E" w:rsidRDefault="00E14BD3" w:rsidP="00304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14BD3" w:rsidRPr="00DD553E" w:rsidRDefault="004333DC" w:rsidP="00304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Враховано</w:t>
            </w:r>
          </w:p>
          <w:p w:rsidR="00922411" w:rsidRPr="00DD553E" w:rsidRDefault="0092241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88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3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Додатку 2 «Перелік  </w:t>
            </w:r>
            <w:r w:rsidRPr="00633A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міських  програм розвитку, які  діють у 202</w:t>
            </w:r>
            <w:r w:rsidRPr="00DD55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2-2024 роках</w:t>
            </w:r>
            <w:r w:rsidRPr="00633A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» до </w:t>
            </w:r>
            <w:r w:rsidRPr="00633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Програми економічного і соціального розвитку </w:t>
            </w:r>
            <w:proofErr w:type="spellStart"/>
            <w:r w:rsidRPr="00633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м.Миколаєва</w:t>
            </w:r>
            <w:proofErr w:type="spellEnd"/>
            <w:r w:rsidRPr="00633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202</w:t>
            </w: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2-2024 роки </w:t>
            </w:r>
            <w:r w:rsidRPr="00633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включена</w:t>
            </w:r>
            <w:r w:rsidR="00633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Екологічна політика </w:t>
            </w:r>
            <w:proofErr w:type="spellStart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м.Миколаєва</w:t>
            </w:r>
            <w:proofErr w:type="spellEnd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якою визначені основні стратегічні напрямки екологічного розвитку міста</w:t>
            </w:r>
          </w:p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22A1D" w:rsidRPr="00DD553E" w:rsidRDefault="00522A1D" w:rsidP="00304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C5FC1" w:rsidRPr="00DD553E" w:rsidTr="00BC5FC1">
        <w:tc>
          <w:tcPr>
            <w:tcW w:w="599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</w:tcPr>
          <w:p w:rsidR="00BC5FC1" w:rsidRPr="00DD553E" w:rsidRDefault="00BC5FC1" w:rsidP="00BC5F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Розділ</w:t>
            </w:r>
            <w:proofErr w:type="spellEnd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«</w:t>
            </w:r>
            <w:proofErr w:type="spellStart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Охорона</w:t>
            </w:r>
            <w:proofErr w:type="spellEnd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навколишнього</w:t>
            </w:r>
            <w:proofErr w:type="spellEnd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природного </w:t>
            </w:r>
            <w:proofErr w:type="spellStart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середовища</w:t>
            </w:r>
            <w:proofErr w:type="spellEnd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15" w:type="dxa"/>
          </w:tcPr>
          <w:p w:rsidR="00BC5FC1" w:rsidRPr="00DD553E" w:rsidRDefault="00BC5FC1" w:rsidP="00BC5F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Пропонуємо пере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бачити доповнення пункту 6 «Охорона навколишнього природного середовища» розділу ІІ «Мета, завдання та заходи економічного і соціального розвитку міста на 2022-2024 роки» та інших </w:t>
            </w: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належних складових Програми пріоритетними завданнями та заходами щодо упорядкування орних земель шляхом виведення з їх складу схилів, земель водоохоронних зон, </w:t>
            </w:r>
            <w:proofErr w:type="spellStart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ерозійно</w:t>
            </w:r>
            <w:proofErr w:type="spellEnd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небезпечних та інших непридатних для розорювання угідь, відтворення лісів, створення нових та реконструкції існуючих полезахисних лісових смуг та інших захисних насаджень, відновлення </w:t>
            </w:r>
            <w:proofErr w:type="spellStart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антропогенно</w:t>
            </w:r>
            <w:proofErr w:type="spellEnd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змінених екосистем, створення і відновлення сіножатей та пасовищ, створення нових та збереження існуючих територій та об’єктів природно-заповідного фонду, формування </w:t>
            </w:r>
            <w:proofErr w:type="spellStart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екомережі</w:t>
            </w:r>
            <w:proofErr w:type="spellEnd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реалізації добровільних національних завдань за щодо досягнення нейтрального рівня деградації земель (лист від 29.11.2021 №25/5-21/25319-21)</w:t>
            </w:r>
          </w:p>
        </w:tc>
        <w:tc>
          <w:tcPr>
            <w:tcW w:w="2492" w:type="dxa"/>
          </w:tcPr>
          <w:p w:rsidR="00BC5FC1" w:rsidRPr="00DD553E" w:rsidRDefault="00BC5FC1" w:rsidP="00BC5FC1">
            <w:pPr>
              <w:pStyle w:val="a7"/>
              <w:spacing w:after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 xml:space="preserve">Враховано </w:t>
            </w:r>
          </w:p>
        </w:tc>
        <w:tc>
          <w:tcPr>
            <w:tcW w:w="4188" w:type="dxa"/>
          </w:tcPr>
          <w:p w:rsidR="00BC5FC1" w:rsidRPr="00DD553E" w:rsidRDefault="00BC5FC1" w:rsidP="00BC5FC1">
            <w:pPr>
              <w:pStyle w:val="a7"/>
              <w:spacing w:after="0"/>
              <w:jc w:val="both"/>
              <w:rPr>
                <w:color w:val="000000" w:themeColor="text1"/>
                <w:szCs w:val="24"/>
              </w:rPr>
            </w:pPr>
            <w:r w:rsidRPr="00DD553E">
              <w:rPr>
                <w:color w:val="000000" w:themeColor="text1"/>
                <w:szCs w:val="24"/>
              </w:rPr>
              <w:t xml:space="preserve">У Розділі 6 «Охорона навколишнього природного середовища» Заходи щодо виконання Програми економічного і соціального розвитку на 2022-2024 роки </w:t>
            </w:r>
            <w:proofErr w:type="spellStart"/>
            <w:r w:rsidRPr="00DD553E">
              <w:rPr>
                <w:color w:val="000000" w:themeColor="text1"/>
                <w:szCs w:val="24"/>
              </w:rPr>
              <w:t>доповн</w:t>
            </w:r>
            <w:r w:rsidRPr="005C1D1B">
              <w:rPr>
                <w:color w:val="000000" w:themeColor="text1"/>
                <w:szCs w:val="24"/>
                <w:lang w:val="ru-RU"/>
              </w:rPr>
              <w:t>ено</w:t>
            </w:r>
            <w:proofErr w:type="spellEnd"/>
            <w:r w:rsidRPr="00DD553E">
              <w:rPr>
                <w:color w:val="000000" w:themeColor="text1"/>
                <w:szCs w:val="24"/>
              </w:rPr>
              <w:t xml:space="preserve"> пунктом 8 «Створення нових та збереження існуючих </w:t>
            </w:r>
            <w:r w:rsidRPr="00DD553E">
              <w:rPr>
                <w:color w:val="000000" w:themeColor="text1"/>
                <w:szCs w:val="24"/>
              </w:rPr>
              <w:lastRenderedPageBreak/>
              <w:t xml:space="preserve">територій та об’єктів природно-заповідного фонду»,   </w:t>
            </w:r>
          </w:p>
          <w:p w:rsidR="00BC5FC1" w:rsidRPr="00DD553E" w:rsidRDefault="00BC5FC1" w:rsidP="00BC5FC1">
            <w:pPr>
              <w:pStyle w:val="a7"/>
              <w:spacing w:after="0"/>
              <w:jc w:val="both"/>
              <w:rPr>
                <w:color w:val="000000" w:themeColor="text1"/>
                <w:szCs w:val="24"/>
              </w:rPr>
            </w:pPr>
            <w:r w:rsidRPr="00DD553E">
              <w:rPr>
                <w:color w:val="000000" w:themeColor="text1"/>
              </w:rPr>
              <w:t>Очікуваний результат, результативні показники «додержання вимог щодо охорони територій та об’єктів природно-заповідного фонду, збільшення кількості територій та об’єктів природно-заповідного фонду»</w:t>
            </w:r>
          </w:p>
          <w:p w:rsidR="00BC5FC1" w:rsidRPr="00DD553E" w:rsidRDefault="00BC5FC1" w:rsidP="00BC5FC1">
            <w:pPr>
              <w:pStyle w:val="a7"/>
              <w:spacing w:after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BC5FC1" w:rsidRPr="00DD553E" w:rsidTr="00BC5FC1">
        <w:tc>
          <w:tcPr>
            <w:tcW w:w="599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</w:tcPr>
          <w:p w:rsidR="00BC5FC1" w:rsidRPr="00DD553E" w:rsidRDefault="00BC5FC1" w:rsidP="00BC5F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Підрозділ «Охорона природного навколишнього середовища»  Розділу </w:t>
            </w: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«Аналіз </w:t>
            </w: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економічного і соціального розвитку </w:t>
            </w:r>
            <w:proofErr w:type="spellStart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м.Миколаєва</w:t>
            </w:r>
            <w:proofErr w:type="spellEnd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попередній період»</w:t>
            </w:r>
          </w:p>
        </w:tc>
        <w:tc>
          <w:tcPr>
            <w:tcW w:w="3615" w:type="dxa"/>
          </w:tcPr>
          <w:p w:rsidR="00BC5FC1" w:rsidRPr="00DD553E" w:rsidRDefault="00BC5FC1" w:rsidP="00BC5F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Пропонуємо передбачити доповнення Програми (у розділі 6, додатку 1 та ін.) відповідними індикаторами/показниками оцінки виконання зокрема з урахуванням індикаторів, передбачених </w:t>
            </w:r>
            <w:proofErr w:type="spellStart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Держстратегією</w:t>
            </w:r>
            <w:proofErr w:type="spellEnd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Стратегією ОНПС (показники оцінки реалізації державної екологічної політики) та моніторингом ЦСР (лист від 29.11.2021 №25/5-21/25319-21)</w:t>
            </w:r>
          </w:p>
          <w:p w:rsidR="00BC5FC1" w:rsidRPr="00DD553E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92" w:type="dxa"/>
          </w:tcPr>
          <w:p w:rsidR="00BC5FC1" w:rsidRPr="00DD553E" w:rsidRDefault="00BC5FC1" w:rsidP="00BC5FC1">
            <w:pPr>
              <w:pStyle w:val="newsp"/>
              <w:shd w:val="clear" w:color="auto" w:fill="FFFFFF"/>
              <w:spacing w:before="0" w:beforeAutospacing="0" w:after="0" w:afterAutospacing="0"/>
              <w:ind w:right="57" w:firstLine="54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 xml:space="preserve">Враховано </w:t>
            </w:r>
          </w:p>
        </w:tc>
        <w:tc>
          <w:tcPr>
            <w:tcW w:w="4188" w:type="dxa"/>
          </w:tcPr>
          <w:p w:rsidR="00BC5FC1" w:rsidRPr="00DD553E" w:rsidRDefault="00BC5FC1" w:rsidP="00BC5F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Підрозділ «Охорона природного навколишнього середовища»  Розділу </w:t>
            </w: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«Аналіз економічного і соціального розвитку </w:t>
            </w:r>
            <w:proofErr w:type="spellStart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м.Миколаєва</w:t>
            </w:r>
            <w:proofErr w:type="spellEnd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попередній період» доповнено:</w:t>
            </w:r>
          </w:p>
          <w:p w:rsidR="00BC5FC1" w:rsidRPr="00DD553E" w:rsidRDefault="00BC5FC1" w:rsidP="00BC5F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межах </w:t>
            </w:r>
            <w:proofErr w:type="spellStart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м.Миколаєва</w:t>
            </w:r>
            <w:proofErr w:type="spellEnd"/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налічується 18 об’єктів природно-заповідного фонду, </w:t>
            </w: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загальною площею 1160,4 га (4,5 % міської території), що відносяться до 8 категорі</w:t>
            </w: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ї</w:t>
            </w: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BC5FC1" w:rsidRPr="00DD553E" w:rsidRDefault="00BC5FC1" w:rsidP="00BC5FC1">
            <w:pPr>
              <w:pStyle w:val="newsp"/>
              <w:shd w:val="clear" w:color="auto" w:fill="FFFFFF"/>
              <w:spacing w:before="0" w:beforeAutospacing="0" w:after="0" w:afterAutospacing="0"/>
              <w:ind w:right="57" w:firstLine="540"/>
              <w:jc w:val="both"/>
              <w:rPr>
                <w:color w:val="000000" w:themeColor="text1"/>
                <w:lang w:val="uk-UA"/>
              </w:rPr>
            </w:pPr>
            <w:r w:rsidRPr="00DD553E">
              <w:rPr>
                <w:color w:val="000000" w:themeColor="text1"/>
                <w:lang w:val="uk-UA"/>
              </w:rPr>
              <w:t>З метою збільшення кількості територій та об’єктів ПЗФ, було проведено обстеження та інженерно-геологічні роботи, за результатами яких рекомендовано надати статус гідрологічної пам’ятки природи джерелу на території парку «</w:t>
            </w:r>
            <w:proofErr w:type="spellStart"/>
            <w:r w:rsidRPr="00DD553E">
              <w:rPr>
                <w:color w:val="000000" w:themeColor="text1"/>
                <w:lang w:val="uk-UA"/>
              </w:rPr>
              <w:t>Богоявленський</w:t>
            </w:r>
            <w:proofErr w:type="spellEnd"/>
            <w:r w:rsidRPr="00DD553E">
              <w:rPr>
                <w:color w:val="000000" w:themeColor="text1"/>
                <w:lang w:val="uk-UA"/>
              </w:rPr>
              <w:t>». Після чого отримано погодження клопотання щодо включення даного об’єкта до об’єктів природно-заповідного фонду від Міністерства екології та природних ресурсів України. На сьогодні питання щодо оголошення джерела на території міського парку «</w:t>
            </w:r>
            <w:proofErr w:type="spellStart"/>
            <w:r w:rsidRPr="00DD553E">
              <w:rPr>
                <w:color w:val="000000" w:themeColor="text1"/>
                <w:lang w:val="uk-UA"/>
              </w:rPr>
              <w:t>Богоявленський</w:t>
            </w:r>
            <w:proofErr w:type="spellEnd"/>
            <w:r w:rsidRPr="00DD553E">
              <w:rPr>
                <w:color w:val="000000" w:themeColor="text1"/>
                <w:lang w:val="uk-UA"/>
              </w:rPr>
              <w:t>» об’єктом природно-заповідного фонду відпрацьовується відповідним структурним підрозділом Миколаївської облдержадміністрації відповідно до повноважень.</w:t>
            </w:r>
          </w:p>
        </w:tc>
      </w:tr>
      <w:tr w:rsidR="00BC5FC1" w:rsidRPr="00DD553E" w:rsidTr="00BC5FC1">
        <w:tc>
          <w:tcPr>
            <w:tcW w:w="599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400" w:type="dxa"/>
          </w:tcPr>
          <w:p w:rsidR="00BC5FC1" w:rsidRPr="00DD553E" w:rsidRDefault="00BC5FC1" w:rsidP="00BC5F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Міністерство охорони здоров’я України</w:t>
            </w:r>
          </w:p>
        </w:tc>
        <w:tc>
          <w:tcPr>
            <w:tcW w:w="2010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615" w:type="dxa"/>
          </w:tcPr>
          <w:p w:rsidR="00BC5FC1" w:rsidRPr="00DD553E" w:rsidRDefault="00BC5FC1" w:rsidP="00BC5F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Направлено лист від 23.10.2021 №7793/02.02.01-22/02.03/14/21</w:t>
            </w:r>
          </w:p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зауваження та пропозиції відсутні відповідно до абзацу 2 пункту 3 статтею 13 Закону України «Про стратегічну екологічну оцінку»</w:t>
            </w:r>
          </w:p>
        </w:tc>
        <w:tc>
          <w:tcPr>
            <w:tcW w:w="2492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88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C5FC1" w:rsidRPr="00DD553E" w:rsidTr="00BC5FC1">
        <w:tc>
          <w:tcPr>
            <w:tcW w:w="599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400" w:type="dxa"/>
          </w:tcPr>
          <w:p w:rsidR="00BC5FC1" w:rsidRPr="00DD553E" w:rsidRDefault="00BC5FC1" w:rsidP="00BC5F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охорони здоров’я </w:t>
            </w: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Миколаївської обласної державної адміністрації;</w:t>
            </w:r>
          </w:p>
          <w:p w:rsidR="00BC5FC1" w:rsidRPr="00DD553E" w:rsidRDefault="00BC5FC1" w:rsidP="00BC5FC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3615" w:type="dxa"/>
          </w:tcPr>
          <w:p w:rsidR="00BC5FC1" w:rsidRPr="00DD553E" w:rsidRDefault="00BC5FC1" w:rsidP="00BC5F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Направлено лист від 23.10.2021 №7797/02.02.01-22/02.03/14/21.</w:t>
            </w:r>
          </w:p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Зауваження та пропозиції відсутні відповідно до абзацу 2 пункту 3 статтею 13 Закону України «Про стратегічну екологічну оцінку»</w:t>
            </w:r>
          </w:p>
        </w:tc>
        <w:tc>
          <w:tcPr>
            <w:tcW w:w="2492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88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C5FC1" w:rsidRPr="00DD553E" w:rsidTr="00BC5FC1">
        <w:tc>
          <w:tcPr>
            <w:tcW w:w="599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400" w:type="dxa"/>
          </w:tcPr>
          <w:p w:rsidR="00BC5FC1" w:rsidRPr="00DD553E" w:rsidRDefault="00BC5FC1" w:rsidP="00BC5F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екології та природних ресурсів Миколаївської  обласної державної адміністрації</w:t>
            </w:r>
          </w:p>
        </w:tc>
        <w:tc>
          <w:tcPr>
            <w:tcW w:w="2010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615" w:type="dxa"/>
          </w:tcPr>
          <w:p w:rsidR="00BC5FC1" w:rsidRPr="00DD553E" w:rsidRDefault="00BC5FC1" w:rsidP="00BC5F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Направлено лист від 23.10.2021 №7795/02.02.01-22/02.03/14/21</w:t>
            </w:r>
          </w:p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зауваження та пропозиції відсутні відповідно до абзацу 2 пункту 3 статтею 13 Закону України «Про стратегічну екологічну оцінку»</w:t>
            </w:r>
          </w:p>
        </w:tc>
        <w:tc>
          <w:tcPr>
            <w:tcW w:w="2492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88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C5FC1" w:rsidRPr="00B45990" w:rsidTr="00BC5FC1">
        <w:tc>
          <w:tcPr>
            <w:tcW w:w="15304" w:type="dxa"/>
            <w:gridSpan w:val="6"/>
          </w:tcPr>
          <w:p w:rsidR="00BC5FC1" w:rsidRPr="00D646A3" w:rsidRDefault="00BC5FC1" w:rsidP="00BC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46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звіту про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Стратегічну екологічну оцінку</w:t>
            </w:r>
          </w:p>
        </w:tc>
      </w:tr>
      <w:tr w:rsidR="00BC5FC1" w:rsidRPr="00B45990" w:rsidTr="00BC5FC1">
        <w:tc>
          <w:tcPr>
            <w:tcW w:w="599" w:type="dxa"/>
          </w:tcPr>
          <w:p w:rsidR="00BC5FC1" w:rsidRPr="00B45990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00" w:type="dxa"/>
          </w:tcPr>
          <w:p w:rsidR="00BC5FC1" w:rsidRPr="00B45990" w:rsidRDefault="00BC5FC1" w:rsidP="00BC5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захисту довкілля та природних ресурсів України</w:t>
            </w:r>
          </w:p>
          <w:p w:rsidR="00BC5FC1" w:rsidRPr="00B45990" w:rsidRDefault="00BC5FC1" w:rsidP="00BC5F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</w:tcPr>
          <w:p w:rsidR="00BC5FC1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FC1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FC1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FC1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FC1" w:rsidRPr="00B45990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</w:tcPr>
          <w:p w:rsidR="00BC5FC1" w:rsidRPr="00BC5FC1" w:rsidRDefault="00BC5FC1" w:rsidP="00BC5F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Направлено лист від 23.10.2021 №7794/02.02.01-22/02.03/14/21</w:t>
            </w:r>
          </w:p>
          <w:p w:rsidR="00BC5FC1" w:rsidRPr="00BC5FC1" w:rsidRDefault="00BC5FC1" w:rsidP="00BC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Структуру Звіту слід привести у відповідність зі статтею 11 Закону України «Про стратегічну екологічну оцінку» </w:t>
            </w: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 xml:space="preserve">(лист від </w:t>
            </w: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29.11.2021 №25/5-21/25319-21)</w:t>
            </w:r>
          </w:p>
        </w:tc>
        <w:tc>
          <w:tcPr>
            <w:tcW w:w="2492" w:type="dxa"/>
          </w:tcPr>
          <w:p w:rsidR="00BC5FC1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Враховано</w:t>
            </w:r>
          </w:p>
          <w:p w:rsidR="00BC5FC1" w:rsidRPr="00F17CB5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188" w:type="dxa"/>
          </w:tcPr>
          <w:p w:rsidR="00BC5FC1" w:rsidRPr="00B45990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Звіт доповнено розділом </w:t>
            </w:r>
            <w:r w:rsidRPr="005C1D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 «</w:t>
            </w:r>
            <w:r w:rsidRPr="005C1D1B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стану довкілля, умов життєдіяльності населення та стану його здоров’я на територіях, які ймовірно зазнають впливу.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BC5FC1" w:rsidRPr="00B45990" w:rsidTr="00BC5FC1">
        <w:tc>
          <w:tcPr>
            <w:tcW w:w="599" w:type="dxa"/>
          </w:tcPr>
          <w:p w:rsidR="00BC5FC1" w:rsidRPr="00B45990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</w:tcPr>
          <w:p w:rsidR="00BC5FC1" w:rsidRPr="00B45990" w:rsidRDefault="00BC5FC1" w:rsidP="00BC5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</w:tcPr>
          <w:p w:rsidR="00BC5FC1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</w:tcPr>
          <w:p w:rsidR="00BC5FC1" w:rsidRPr="00BC5FC1" w:rsidRDefault="00BC5FC1" w:rsidP="00BC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Розділи 2 - 6 Звіту пропонуємо додатково опрацювати, забезпечивши викладення повних коректних відомостей щодо природоохоронних територій та об’єктів і впливу на них, виходячи з визначення згідно з пунктом 9 додатку</w:t>
            </w: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Закону України «Про національну інфраструктуру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геопросторових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даних»</w:t>
            </w: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BC5FC1" w:rsidRPr="00BC5FC1" w:rsidRDefault="00BC5FC1" w:rsidP="00BC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ідомості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територій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об’єктів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екомережі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слід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наводити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урахуванням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переліку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складових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структурних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елементів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екомережі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визначений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статтею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Закону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екологічну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мережу </w:t>
            </w:r>
            <w:proofErr w:type="spellStart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 xml:space="preserve">(лист від </w:t>
            </w: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29.11.2021 №25/5-21/25319-21)</w:t>
            </w:r>
          </w:p>
        </w:tc>
        <w:tc>
          <w:tcPr>
            <w:tcW w:w="2492" w:type="dxa"/>
          </w:tcPr>
          <w:p w:rsidR="00BC5FC1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Не враховано </w:t>
            </w:r>
          </w:p>
        </w:tc>
        <w:tc>
          <w:tcPr>
            <w:tcW w:w="4188" w:type="dxa"/>
          </w:tcPr>
          <w:p w:rsidR="00BC5FC1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>Території Смарагдової мережі, водно-болотні угіддя міжнародного значення, біосферні резервати програми ЮНЕСКО «Людина і біосфера», об’єкти всесвітньої с</w:t>
            </w:r>
            <w:r w:rsidR="00FB012F"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>падщини ЮНЕСКО» у місті Миколаєві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 відсутні. </w:t>
            </w:r>
          </w:p>
          <w:p w:rsidR="00BC5FC1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Екологічна мережа та перелік складових структурних елементів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екомережі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 Миколаєва на цей час не розроблялися та відповідно не затверджувалися. Тому слід  вважати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всі об’єкти та території природно-заповідного фонду ключовими.</w:t>
            </w:r>
          </w:p>
        </w:tc>
      </w:tr>
      <w:tr w:rsidR="00BC5FC1" w:rsidRPr="00384540" w:rsidTr="00BC5FC1">
        <w:tc>
          <w:tcPr>
            <w:tcW w:w="599" w:type="dxa"/>
          </w:tcPr>
          <w:p w:rsidR="00BC5FC1" w:rsidRPr="00E25F5A" w:rsidRDefault="00BC5FC1" w:rsidP="00BC5F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</w:tcPr>
          <w:p w:rsidR="00BC5FC1" w:rsidRPr="00E25F5A" w:rsidRDefault="00BC5FC1" w:rsidP="00BC5F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</w:tcPr>
          <w:p w:rsidR="00BC5FC1" w:rsidRPr="00E25F5A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</w:tcPr>
          <w:p w:rsidR="00BC5FC1" w:rsidRPr="00BC5FC1" w:rsidRDefault="00BC5FC1" w:rsidP="00BC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>С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лід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навести 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дані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структури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земель та 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угідь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Миколаєва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як</w:t>
            </w:r>
            <w:r w:rsidR="00FB012F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і</w:t>
            </w:r>
            <w:proofErr w:type="spellEnd"/>
            <w:r w:rsidR="00FB012F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012F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відсутні</w:t>
            </w:r>
            <w:proofErr w:type="spellEnd"/>
            <w:r w:rsidR="00FB012F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), а не </w:t>
            </w:r>
            <w:proofErr w:type="spellStart"/>
            <w:r w:rsidR="00FB012F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всієї</w:t>
            </w:r>
            <w:proofErr w:type="spellEnd"/>
            <w:r w:rsidR="00FB012F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012F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області</w:t>
            </w:r>
            <w:proofErr w:type="spellEnd"/>
            <w:r w:rsidR="00FB012F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 xml:space="preserve">(лист від </w:t>
            </w: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29.11.2021 №25/5-21/25319-21)</w:t>
            </w:r>
          </w:p>
        </w:tc>
        <w:tc>
          <w:tcPr>
            <w:tcW w:w="2492" w:type="dxa"/>
          </w:tcPr>
          <w:p w:rsidR="00BC5FC1" w:rsidRPr="00E25F5A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FB01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враховано</w:t>
            </w:r>
          </w:p>
        </w:tc>
        <w:tc>
          <w:tcPr>
            <w:tcW w:w="4188" w:type="dxa"/>
          </w:tcPr>
          <w:p w:rsidR="00BC5FC1" w:rsidRPr="00E25F5A" w:rsidRDefault="00FB012F" w:rsidP="00A57D0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55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Відповідно до листа ГУ </w:t>
            </w:r>
            <w:proofErr w:type="spellStart"/>
            <w:r w:rsidRPr="00955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955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Миколаївській області в програмному </w:t>
            </w:r>
            <w:r w:rsidR="00384540" w:rsidRPr="00955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забезпеченні ведення Державного земельного кадастру відсутні функціонали та технічні можливості</w:t>
            </w:r>
            <w:bookmarkStart w:id="0" w:name="_GoBack"/>
            <w:bookmarkEnd w:id="0"/>
            <w:r w:rsidR="00384540" w:rsidRPr="00955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частині формув</w:t>
            </w:r>
            <w:r w:rsidR="00955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384540" w:rsidRPr="00955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ння адміністративної звітності щодо структури земельних угідь міста Миколаєва. У зв’язку з чим у Звіті наведені дані Миколаївської області.</w:t>
            </w:r>
          </w:p>
        </w:tc>
      </w:tr>
      <w:tr w:rsidR="00BC5FC1" w:rsidRPr="00B45990" w:rsidTr="00BC5FC1">
        <w:tc>
          <w:tcPr>
            <w:tcW w:w="599" w:type="dxa"/>
          </w:tcPr>
          <w:p w:rsidR="00BC5FC1" w:rsidRPr="00B45990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</w:tcPr>
          <w:p w:rsidR="00BC5FC1" w:rsidRPr="00B45990" w:rsidRDefault="00BC5FC1" w:rsidP="00BC5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</w:tcPr>
          <w:p w:rsidR="00BC5FC1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</w:tcPr>
          <w:p w:rsidR="00BC5FC1" w:rsidRPr="00BC5FC1" w:rsidRDefault="00BC5FC1" w:rsidP="00BC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84540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>У розділі 7 «Обґрунтування вибору виправданих альтернатив» Звіту</w:t>
            </w: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84540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 xml:space="preserve">розглянуто лише одну </w:t>
            </w: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>а</w:t>
            </w:r>
            <w:r w:rsidRPr="00384540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 xml:space="preserve">льтернативу, а саме </w:t>
            </w:r>
            <w:proofErr w:type="spellStart"/>
            <w:r w:rsidRPr="00384540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>нульови</w:t>
            </w: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сценарій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 xml:space="preserve">(лист від </w:t>
            </w: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29.11.2021 №25/5-21/25319-21)</w:t>
            </w:r>
          </w:p>
        </w:tc>
        <w:tc>
          <w:tcPr>
            <w:tcW w:w="2492" w:type="dxa"/>
          </w:tcPr>
          <w:p w:rsidR="00BC5FC1" w:rsidRPr="00BC5FC1" w:rsidRDefault="00BC5FC1" w:rsidP="00BC5FC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4188" w:type="dxa"/>
          </w:tcPr>
          <w:p w:rsidR="00BC5FC1" w:rsidRPr="005C1D1B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BC5FC1" w:rsidRPr="00BC5FC1" w:rsidRDefault="00BC5FC1" w:rsidP="00BC5FC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BC5F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оповнено: </w:t>
            </w:r>
            <w:r w:rsidRPr="00BC5FC1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Альтернативний варіант № 2</w:t>
            </w:r>
            <w:r w:rsidRPr="00BC5F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BC5FC1">
              <w:rPr>
                <w:rFonts w:ascii="Times New Roman" w:hAnsi="Times New Roman"/>
                <w:sz w:val="24"/>
                <w:szCs w:val="24"/>
                <w:lang w:val="uk-UA"/>
              </w:rPr>
              <w:t>є відмова від деяких завдань Програми економічного і соціального розвитку м. Миколаєва на 2022-2024 роки. Дана альтернатива є недоцільною, тому що всі завдання та заходи Програми спрямовані на економічний та соціальний розвиток  громади, у тому числі на покращ</w:t>
            </w:r>
            <w:r w:rsidRPr="00BC5FC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BC5FC1">
              <w:rPr>
                <w:rFonts w:ascii="Times New Roman" w:hAnsi="Times New Roman"/>
                <w:sz w:val="24"/>
                <w:szCs w:val="24"/>
                <w:lang w:val="uk-UA"/>
              </w:rPr>
              <w:t>ння</w:t>
            </w:r>
            <w:proofErr w:type="spellEnd"/>
            <w:r w:rsidRPr="00BC5F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навколишнього природного середовища, умов життєдіяльності населення та стану його здоров’я.»</w:t>
            </w:r>
          </w:p>
        </w:tc>
      </w:tr>
      <w:tr w:rsidR="00BC5FC1" w:rsidRPr="004170DE" w:rsidTr="00BC5FC1">
        <w:tc>
          <w:tcPr>
            <w:tcW w:w="599" w:type="dxa"/>
          </w:tcPr>
          <w:p w:rsidR="00BC5FC1" w:rsidRPr="00B45990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</w:tcPr>
          <w:p w:rsidR="00BC5FC1" w:rsidRPr="00B45990" w:rsidRDefault="00BC5FC1" w:rsidP="00BC5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</w:tcPr>
          <w:p w:rsidR="00BC5FC1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</w:tcPr>
          <w:p w:rsidR="00BC5FC1" w:rsidRPr="00BC5FC1" w:rsidRDefault="00BC5FC1" w:rsidP="00BC5F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</w:pP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>Інформація розділу 8 «Заходи, передбачені для здійснення моніторингу</w:t>
            </w: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>наслідків виконання документа державного планування для довкілля, у тому</w:t>
            </w: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>числі для здоров’я населення» Звіту має бути приведена у відповідність до</w:t>
            </w: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>вимог пункту 5 Порядку здійснення моніторингу наслідків виконання</w:t>
            </w:r>
          </w:p>
          <w:p w:rsidR="00BC5FC1" w:rsidRPr="00BC5FC1" w:rsidRDefault="00BC5FC1" w:rsidP="00BC5F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</w:pP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документа державного 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планування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довкілля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, у тому 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здоров’я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населення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затвердженого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 16.12.2020 № 1272</w:t>
            </w: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C5FC1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  <w:lang w:val="uk-UA"/>
              </w:rPr>
              <w:t xml:space="preserve">(лист від </w:t>
            </w: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29.11.2021 №25/5-21/25319-21)</w:t>
            </w:r>
          </w:p>
        </w:tc>
        <w:tc>
          <w:tcPr>
            <w:tcW w:w="2492" w:type="dxa"/>
          </w:tcPr>
          <w:p w:rsidR="00BC5FC1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Враховано</w:t>
            </w:r>
          </w:p>
          <w:p w:rsidR="00BC5FC1" w:rsidRDefault="00BC5FC1" w:rsidP="00BC5FC1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188" w:type="dxa"/>
          </w:tcPr>
          <w:p w:rsidR="00BC5FC1" w:rsidRPr="00B45990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Моніторинг стану виконання міських програм та впливу від впровадження, передбачених заходів, є обов’язковою умовою при здійсненні планової діяльності</w:t>
            </w:r>
          </w:p>
        </w:tc>
      </w:tr>
      <w:tr w:rsidR="00BC5FC1" w:rsidRPr="00DD553E" w:rsidTr="00BC5FC1">
        <w:tc>
          <w:tcPr>
            <w:tcW w:w="599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0" w:type="dxa"/>
          </w:tcPr>
          <w:p w:rsidR="00BC5FC1" w:rsidRPr="00DD553E" w:rsidRDefault="00BC5FC1" w:rsidP="00BC5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охорони здоров’я України</w:t>
            </w:r>
          </w:p>
          <w:p w:rsidR="00BC5FC1" w:rsidRPr="00DD553E" w:rsidRDefault="00BC5FC1" w:rsidP="00BC5F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</w:tcPr>
          <w:p w:rsidR="00BC5FC1" w:rsidRPr="00BC5FC1" w:rsidRDefault="00BC5FC1" w:rsidP="00BC5F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Направлено лист від 23.10.2021 №7793/02.02.01-22/02.03/14/21 зауваження та пропозиції відсутні відповідно до абзацу 2 пункту 3 статтею 13 Закону України «Про стратегічну екологічну оцінку» </w:t>
            </w:r>
          </w:p>
        </w:tc>
        <w:tc>
          <w:tcPr>
            <w:tcW w:w="2492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88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FC1" w:rsidRPr="00DD553E" w:rsidTr="00BC5FC1">
        <w:tc>
          <w:tcPr>
            <w:tcW w:w="599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0" w:type="dxa"/>
          </w:tcPr>
          <w:p w:rsidR="00BC5FC1" w:rsidRPr="00DD553E" w:rsidRDefault="00BC5FC1" w:rsidP="00BC5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здоров’я Миколаївської обласної державної адміністрації</w:t>
            </w:r>
          </w:p>
        </w:tc>
        <w:tc>
          <w:tcPr>
            <w:tcW w:w="2010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</w:tcPr>
          <w:p w:rsidR="00BC5FC1" w:rsidRPr="00BC5FC1" w:rsidRDefault="00BC5FC1" w:rsidP="00BC5F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Направлено лист від 23.10.2021 №7797/02.02.01-22/02.03/14/21.</w:t>
            </w:r>
          </w:p>
          <w:p w:rsidR="00BC5FC1" w:rsidRPr="00BC5FC1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зауваження та пропозиції відсутні відповідно до абзацу 2 пункту 3 статтею 13 Закону України «Про стратегічну екологічну оцінку»</w:t>
            </w:r>
          </w:p>
        </w:tc>
        <w:tc>
          <w:tcPr>
            <w:tcW w:w="2492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88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FC1" w:rsidRPr="00DD553E" w:rsidTr="00BC5FC1">
        <w:tc>
          <w:tcPr>
            <w:tcW w:w="599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400" w:type="dxa"/>
          </w:tcPr>
          <w:p w:rsidR="00BC5FC1" w:rsidRPr="00DD553E" w:rsidRDefault="00BC5FC1" w:rsidP="00BC5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екології та природних ресурсів Миколаївської  обласної державної адміністрації</w:t>
            </w:r>
          </w:p>
        </w:tc>
        <w:tc>
          <w:tcPr>
            <w:tcW w:w="2010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</w:tcPr>
          <w:p w:rsidR="00BC5FC1" w:rsidRPr="00BC5FC1" w:rsidRDefault="00BC5FC1" w:rsidP="00BC5F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Направлено лист від 23.10.2021 №7795/02.02.01-22/02.03/14/21</w:t>
            </w:r>
          </w:p>
          <w:p w:rsidR="00BC5FC1" w:rsidRPr="00BC5FC1" w:rsidRDefault="00BC5FC1" w:rsidP="00BC5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зауваження та пропозиції відсутні відповідно до абзацу 2 пункту 3 статтею 13 Закону України «Про стратегічну екологічну оцінку»</w:t>
            </w:r>
          </w:p>
        </w:tc>
        <w:tc>
          <w:tcPr>
            <w:tcW w:w="2492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88" w:type="dxa"/>
          </w:tcPr>
          <w:p w:rsidR="00BC5FC1" w:rsidRPr="00DD553E" w:rsidRDefault="00BC5FC1" w:rsidP="00BC5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22A1D" w:rsidRPr="007068A1" w:rsidRDefault="00522A1D" w:rsidP="00555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E193B" w:rsidRDefault="00522A1D" w:rsidP="007D0D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1D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Додаток: </w:t>
      </w:r>
      <w:r w:rsidR="00670318" w:rsidRPr="005C1D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B27343" w:rsidRPr="005C1D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2177C0" w:rsidRPr="005C1D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Лист Міністерства захисту довкілля та природних ресурсів України від </w:t>
      </w:r>
      <w:r w:rsidR="00670318" w:rsidRPr="005C1D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29.11.2021 №25/5-21/25319-21.</w:t>
      </w:r>
    </w:p>
    <w:p w:rsidR="00FB012F" w:rsidRPr="005C1D1B" w:rsidRDefault="00FB012F" w:rsidP="007D0D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2. Лист Головного управління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Миколаївській області від 10.12.2021 №18-14-0.2-7562/2-21</w:t>
      </w:r>
    </w:p>
    <w:sectPr w:rsidR="00FB012F" w:rsidRPr="005C1D1B" w:rsidSect="00522A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99D"/>
    <w:multiLevelType w:val="hybridMultilevel"/>
    <w:tmpl w:val="66E4C174"/>
    <w:lvl w:ilvl="0" w:tplc="7346A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F00E17"/>
    <w:multiLevelType w:val="hybridMultilevel"/>
    <w:tmpl w:val="2F3A4BAA"/>
    <w:lvl w:ilvl="0" w:tplc="5F827A5A">
      <w:start w:val="97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60"/>
    <w:rsid w:val="00002F67"/>
    <w:rsid w:val="0000392F"/>
    <w:rsid w:val="000205A7"/>
    <w:rsid w:val="00037607"/>
    <w:rsid w:val="00076D1D"/>
    <w:rsid w:val="00082483"/>
    <w:rsid w:val="000B76DB"/>
    <w:rsid w:val="000C7DB7"/>
    <w:rsid w:val="000F3300"/>
    <w:rsid w:val="00102370"/>
    <w:rsid w:val="0011442C"/>
    <w:rsid w:val="00125321"/>
    <w:rsid w:val="0012690A"/>
    <w:rsid w:val="001B33DC"/>
    <w:rsid w:val="002105C1"/>
    <w:rsid w:val="002177C0"/>
    <w:rsid w:val="002605E1"/>
    <w:rsid w:val="00275CD1"/>
    <w:rsid w:val="003043C8"/>
    <w:rsid w:val="00313EC8"/>
    <w:rsid w:val="00334BDE"/>
    <w:rsid w:val="00374A83"/>
    <w:rsid w:val="00384540"/>
    <w:rsid w:val="003A2027"/>
    <w:rsid w:val="003D198F"/>
    <w:rsid w:val="004076D5"/>
    <w:rsid w:val="004170DE"/>
    <w:rsid w:val="004333DC"/>
    <w:rsid w:val="0047008A"/>
    <w:rsid w:val="00483B69"/>
    <w:rsid w:val="004B062D"/>
    <w:rsid w:val="00504CD4"/>
    <w:rsid w:val="00510A30"/>
    <w:rsid w:val="00522A1D"/>
    <w:rsid w:val="005304D4"/>
    <w:rsid w:val="0055530A"/>
    <w:rsid w:val="005724C0"/>
    <w:rsid w:val="00584FAC"/>
    <w:rsid w:val="005B01F9"/>
    <w:rsid w:val="005C1D1B"/>
    <w:rsid w:val="005D589A"/>
    <w:rsid w:val="00633A2E"/>
    <w:rsid w:val="006342FE"/>
    <w:rsid w:val="00655D04"/>
    <w:rsid w:val="00670318"/>
    <w:rsid w:val="006B17A3"/>
    <w:rsid w:val="006C4678"/>
    <w:rsid w:val="006F3DC2"/>
    <w:rsid w:val="00700B3D"/>
    <w:rsid w:val="00703258"/>
    <w:rsid w:val="00713637"/>
    <w:rsid w:val="007253BA"/>
    <w:rsid w:val="007A0E1E"/>
    <w:rsid w:val="007D0DCA"/>
    <w:rsid w:val="007D6BA1"/>
    <w:rsid w:val="007E2A68"/>
    <w:rsid w:val="007E72ED"/>
    <w:rsid w:val="007F1161"/>
    <w:rsid w:val="00825617"/>
    <w:rsid w:val="00880487"/>
    <w:rsid w:val="00922411"/>
    <w:rsid w:val="00955C0F"/>
    <w:rsid w:val="009A41A3"/>
    <w:rsid w:val="00A00B45"/>
    <w:rsid w:val="00A04878"/>
    <w:rsid w:val="00A12109"/>
    <w:rsid w:val="00A57D01"/>
    <w:rsid w:val="00AD2B52"/>
    <w:rsid w:val="00AE193B"/>
    <w:rsid w:val="00B047EE"/>
    <w:rsid w:val="00B27343"/>
    <w:rsid w:val="00B67472"/>
    <w:rsid w:val="00B92A60"/>
    <w:rsid w:val="00BC5FC1"/>
    <w:rsid w:val="00BD7EBE"/>
    <w:rsid w:val="00C1506B"/>
    <w:rsid w:val="00C35228"/>
    <w:rsid w:val="00C47AFD"/>
    <w:rsid w:val="00C6587D"/>
    <w:rsid w:val="00C730F3"/>
    <w:rsid w:val="00CB424C"/>
    <w:rsid w:val="00CC541A"/>
    <w:rsid w:val="00CE6235"/>
    <w:rsid w:val="00CF2ACF"/>
    <w:rsid w:val="00D20BE9"/>
    <w:rsid w:val="00D32952"/>
    <w:rsid w:val="00D538E3"/>
    <w:rsid w:val="00DA7578"/>
    <w:rsid w:val="00DD553E"/>
    <w:rsid w:val="00DD55E7"/>
    <w:rsid w:val="00E14BD3"/>
    <w:rsid w:val="00E21799"/>
    <w:rsid w:val="00E25F5A"/>
    <w:rsid w:val="00F6351A"/>
    <w:rsid w:val="00FB012F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481E"/>
  <w15:chartTrackingRefBased/>
  <w15:docId w15:val="{F778E18A-DE00-4937-8044-50B7D48B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67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2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6342F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6342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ewsp">
    <w:name w:val="news_p"/>
    <w:basedOn w:val="a"/>
    <w:rsid w:val="0011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170D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572-DCEF-4348-BC22-B643B6A0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7929</TotalTime>
  <Pages>8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user552d</dc:creator>
  <cp:keywords/>
  <dc:description/>
  <cp:lastModifiedBy>user552e</cp:lastModifiedBy>
  <cp:revision>12</cp:revision>
  <cp:lastPrinted>2021-12-09T06:48:00Z</cp:lastPrinted>
  <dcterms:created xsi:type="dcterms:W3CDTF">2021-11-24T11:34:00Z</dcterms:created>
  <dcterms:modified xsi:type="dcterms:W3CDTF">2021-12-13T12:18:00Z</dcterms:modified>
</cp:coreProperties>
</file>