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10" w:rsidRDefault="005271FB" w:rsidP="005271F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271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АНАЛІ</w:t>
      </w:r>
      <w:proofErr w:type="gramStart"/>
      <w:r w:rsidRPr="005271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</w:t>
      </w:r>
      <w:proofErr w:type="gramEnd"/>
      <w:r w:rsidRPr="005271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РЕГУЛЯТОРНОГО ВПЛИВУ</w:t>
      </w:r>
    </w:p>
    <w:p w:rsidR="005271FB" w:rsidRDefault="005271FB" w:rsidP="005271F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проекту рішення</w:t>
      </w:r>
      <w:r w:rsidR="00E41F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виконавчого комітету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Миколаївської міської ради</w:t>
      </w:r>
    </w:p>
    <w:p w:rsidR="005271FB" w:rsidRDefault="005271FB" w:rsidP="005271F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"Про затвердження правил термічної модернізації (утеплення) фасадів багатоквартирних будинків на території міста Миколаєва"</w:t>
      </w:r>
    </w:p>
    <w:p w:rsidR="005271FB" w:rsidRDefault="005271FB" w:rsidP="005271F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5271FB" w:rsidRPr="00E96221" w:rsidRDefault="005271FB" w:rsidP="005271FB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E9622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1.     Визначення проблеми, яку передбачається розв’язати шляхом регулювання</w:t>
      </w:r>
    </w:p>
    <w:p w:rsidR="005271FB" w:rsidRPr="00E96221" w:rsidRDefault="005271FB" w:rsidP="005271FB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</w:p>
    <w:p w:rsidR="005271FB" w:rsidRPr="00E96221" w:rsidRDefault="005271FB" w:rsidP="005271F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622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Аналіз регуляторного вп</w:t>
      </w:r>
      <w:r w:rsidR="00E712BC" w:rsidRPr="00E9622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ливу розроблений з дотриманням вимог Закону України "Про засади державної регуляторної політики у сфері господарської діяльності" від 11.09.2003 року №1160-IV та Методики проведення аналізу впливу регуляторного акту, затвердженої постановою Кабінету Міністрів України від 11.03.2004 року №308, визначає правові та організаційні засади реалізації проекту рішення</w:t>
      </w:r>
      <w:r w:rsidR="008422B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виконавчого комітету</w:t>
      </w:r>
      <w:r w:rsidR="00E712BC" w:rsidRPr="00E9622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Миколаївської міської ради "Про затвердження правил термічної модернізації (утеплення) фасадів багатоквартирних будинків на території міста Миколаєва"</w:t>
      </w:r>
      <w:r w:rsidR="008422B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271FB" w:rsidRPr="00E96221" w:rsidRDefault="005271FB" w:rsidP="005271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Врегулювання даного питання, в першу чергу, важливе для власників квартир в</w:t>
      </w:r>
      <w:r w:rsidR="00E712BC"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багатоповерхових</w:t>
      </w:r>
      <w:r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житлових будинках міста, адже </w:t>
      </w:r>
      <w:r w:rsidR="00E712BC"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є дуже багато випадків на території міста Миколаєва пов'язаних з </w:t>
      </w:r>
      <w:r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пошкодження</w:t>
      </w:r>
      <w:r w:rsidR="00E712BC"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фасадів, покрівель, балконів, оголовків </w:t>
      </w:r>
      <w:proofErr w:type="spellStart"/>
      <w:r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димовентканалів</w:t>
      </w:r>
      <w:proofErr w:type="spellEnd"/>
      <w:r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тощо при</w:t>
      </w:r>
      <w:r w:rsidR="00F95E4E"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термічн</w:t>
      </w:r>
      <w:r w:rsidR="00842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ій</w:t>
      </w:r>
      <w:r w:rsidR="00F95E4E"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модернізації (утепленн</w:t>
      </w:r>
      <w:r w:rsidR="00842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F95E4E"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фасадів</w:t>
      </w:r>
      <w:r w:rsidR="00F95E4E"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мешканцями багатоквартирних житлових будинків, які здійсни</w:t>
      </w:r>
      <w:r w:rsidR="00151883"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ли</w:t>
      </w:r>
      <w:r w:rsidR="00F95E4E"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зовнішнє утеплення фасаду будинку.</w:t>
      </w:r>
    </w:p>
    <w:p w:rsidR="00151883" w:rsidRPr="00E96221" w:rsidRDefault="00F95E4E" w:rsidP="005271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F5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Надмірна концентрація та хаотичність поодинокої термічної модернізації (утеплення) фасадів багатоквартирних будинків та відсутність механізму термічної модернізації (утеплення)</w:t>
      </w:r>
      <w:r w:rsidR="008422BD" w:rsidRPr="004F5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4F5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єдиного зовнішнього вигляду будинку; відсутність єдиного під</w:t>
      </w:r>
      <w:r w:rsidR="00151883" w:rsidRPr="004F5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ходу до термічної модернізації (</w:t>
      </w:r>
      <w:r w:rsidRPr="004F5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утеплення)  </w:t>
      </w:r>
      <w:r w:rsidR="00151883" w:rsidRPr="004F5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фасадів багатоквартирних будинків на території міста Миколаєва є велика проблема, яка повинна бути розв'язана прийнятими єдиними правилами термічної модернізації (утеплення).</w:t>
      </w:r>
    </w:p>
    <w:p w:rsidR="00F95E4E" w:rsidRPr="00E96221" w:rsidRDefault="00151883" w:rsidP="005271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Вирішення вищевказаної проблеми на території міста Миколаєва потребує прийняття комплексного  нормативного акту. З цією м</w:t>
      </w:r>
      <w:r w:rsidR="00E14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тою розроблено проект </w:t>
      </w:r>
      <w:r w:rsidR="00842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рішення</w:t>
      </w:r>
      <w:r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"Про затвердження правил термічної модернізації (утеплення) фасадів багатоквартирних будинків на території міста Миколаєва".</w:t>
      </w:r>
    </w:p>
    <w:p w:rsidR="00151883" w:rsidRPr="00E96221" w:rsidRDefault="00151883" w:rsidP="005271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51883" w:rsidRPr="00E96221" w:rsidRDefault="00151883" w:rsidP="001518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E962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2. В</w:t>
      </w:r>
      <w:r w:rsidR="00B159BB" w:rsidRPr="00E962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изначення цілей державного регулювання </w:t>
      </w:r>
    </w:p>
    <w:p w:rsidR="00B159BB" w:rsidRPr="00E96221" w:rsidRDefault="00B159BB" w:rsidP="001518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159BB" w:rsidRPr="00E96221" w:rsidRDefault="00B159BB" w:rsidP="00B159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Основними цілями державного регулювання є формування єдиної міської політики у сфері термічної модернізації (утеплення) фасадів </w:t>
      </w:r>
      <w:r w:rsidRPr="00E96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багатоквартирних будинків  на території міста Миколаєва, забезпечення у процесі термічної модернізації (утеплення) збереження цілісності будинку, зовнішнього вигляду будинку, стимулювання до утеплення мешканцями своїх будинків з метою зменшення тепловитрат.  </w:t>
      </w:r>
    </w:p>
    <w:p w:rsidR="00B159BB" w:rsidRPr="00E96221" w:rsidRDefault="00B159BB" w:rsidP="00B159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159BB" w:rsidRPr="00E96221" w:rsidRDefault="00B159BB" w:rsidP="00B159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E962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3. Визначення та оцінка усіх прийнятих альтернативних способів досягнення цілей, стосовно переваг обраного способу</w:t>
      </w:r>
    </w:p>
    <w:p w:rsidR="00151883" w:rsidRPr="00E96221" w:rsidRDefault="00151883" w:rsidP="005271FB">
      <w:pPr>
        <w:spacing w:after="0"/>
        <w:rPr>
          <w:rFonts w:cs="Times New Roman"/>
          <w:sz w:val="28"/>
          <w:szCs w:val="28"/>
          <w:lang w:val="uk-UA"/>
        </w:rPr>
      </w:pPr>
    </w:p>
    <w:p w:rsidR="00C66D20" w:rsidRPr="00E96221" w:rsidRDefault="00C66D20" w:rsidP="002D4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1">
        <w:rPr>
          <w:rFonts w:ascii="Times New Roman" w:hAnsi="Times New Roman" w:cs="Times New Roman"/>
          <w:sz w:val="28"/>
          <w:szCs w:val="28"/>
          <w:lang w:val="uk-UA"/>
        </w:rPr>
        <w:t>Перевага обраного виду правого регулювання та прийняття рішення стосовно затвердження єдиних</w:t>
      </w:r>
      <w:r w:rsidR="002D42F4" w:rsidRPr="00E96221">
        <w:rPr>
          <w:rFonts w:ascii="Times New Roman" w:hAnsi="Times New Roman" w:cs="Times New Roman"/>
          <w:sz w:val="28"/>
          <w:szCs w:val="28"/>
          <w:lang w:val="uk-UA"/>
        </w:rPr>
        <w:t xml:space="preserve"> правил термічної модернізації (</w:t>
      </w:r>
      <w:r w:rsidRPr="00E96221">
        <w:rPr>
          <w:rFonts w:ascii="Times New Roman" w:hAnsi="Times New Roman" w:cs="Times New Roman"/>
          <w:sz w:val="28"/>
          <w:szCs w:val="28"/>
          <w:lang w:val="uk-UA"/>
        </w:rPr>
        <w:t xml:space="preserve">утеплення) фасадів багатоквартирних будинків </w:t>
      </w:r>
      <w:r w:rsidR="002D42F4" w:rsidRPr="00E96221">
        <w:rPr>
          <w:rFonts w:ascii="Times New Roman" w:hAnsi="Times New Roman" w:cs="Times New Roman"/>
          <w:sz w:val="28"/>
          <w:szCs w:val="28"/>
          <w:lang w:val="uk-UA"/>
        </w:rPr>
        <w:t xml:space="preserve">їх мешканцями на території міста Миколаєва ґрунтується на імперативності (загальнообов'язковості)  рішень </w:t>
      </w:r>
      <w:r w:rsidR="008422BD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  <w:r w:rsidR="008422BD" w:rsidRPr="004F5FF2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2D42F4" w:rsidRPr="004F5FF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для виконання на території міста Миколаєва, що передбачено ст. 144 Конституції України та ст. 73 Закону України "</w:t>
      </w:r>
      <w:r w:rsidR="008422BD" w:rsidRPr="004F5FF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D42F4" w:rsidRPr="004F5FF2">
        <w:rPr>
          <w:rFonts w:ascii="Times New Roman" w:hAnsi="Times New Roman" w:cs="Times New Roman"/>
          <w:sz w:val="28"/>
          <w:szCs w:val="28"/>
          <w:lang w:val="uk-UA"/>
        </w:rPr>
        <w:t>ро місцеве самоврядування в Україні".</w:t>
      </w:r>
    </w:p>
    <w:p w:rsidR="002D42F4" w:rsidRPr="00E96221" w:rsidRDefault="002D42F4" w:rsidP="002D4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1">
        <w:rPr>
          <w:rFonts w:ascii="Times New Roman" w:hAnsi="Times New Roman" w:cs="Times New Roman"/>
          <w:sz w:val="28"/>
          <w:szCs w:val="28"/>
          <w:lang w:val="uk-UA"/>
        </w:rPr>
        <w:t xml:space="preserve">      Вирішення даної проблеми можливе лише шляхом прийняття відповідного рішення в межах діючого законодавства України.</w:t>
      </w:r>
    </w:p>
    <w:p w:rsidR="002D42F4" w:rsidRPr="00E96221" w:rsidRDefault="002D42F4" w:rsidP="002D4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2F4" w:rsidRPr="00E96221" w:rsidRDefault="002D42F4" w:rsidP="002D4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221">
        <w:rPr>
          <w:rFonts w:ascii="Times New Roman" w:hAnsi="Times New Roman" w:cs="Times New Roman"/>
          <w:b/>
          <w:sz w:val="28"/>
          <w:szCs w:val="28"/>
          <w:lang w:val="uk-UA"/>
        </w:rPr>
        <w:t>4. Механізм та заходи, що пропонуються для вирішення проблеми</w:t>
      </w:r>
    </w:p>
    <w:p w:rsidR="002D42F4" w:rsidRPr="00E96221" w:rsidRDefault="002D42F4" w:rsidP="002D4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2F4" w:rsidRPr="00E96221" w:rsidRDefault="002D42F4" w:rsidP="002D4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1">
        <w:rPr>
          <w:rFonts w:ascii="Times New Roman" w:hAnsi="Times New Roman" w:cs="Times New Roman"/>
          <w:sz w:val="28"/>
          <w:szCs w:val="28"/>
          <w:lang w:val="uk-UA"/>
        </w:rPr>
        <w:t xml:space="preserve">      Зазначені проблеми у проекті рішення</w:t>
      </w:r>
      <w:r w:rsidR="008422B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Pr="00E96221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"</w:t>
      </w:r>
      <w:r w:rsidR="008422B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96221">
        <w:rPr>
          <w:rFonts w:ascii="Times New Roman" w:hAnsi="Times New Roman" w:cs="Times New Roman"/>
          <w:sz w:val="28"/>
          <w:szCs w:val="28"/>
          <w:lang w:val="uk-UA"/>
        </w:rPr>
        <w:t xml:space="preserve">ро затвердження правил термічної модернізації (утеплення) фасадів багатоквартирних будинків на території міста Миколаєва"  вирішуються шляхом впровадження на території міста нормативної бази, </w:t>
      </w:r>
      <w:r w:rsidR="008422BD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E96221">
        <w:rPr>
          <w:rFonts w:ascii="Times New Roman" w:hAnsi="Times New Roman" w:cs="Times New Roman"/>
          <w:sz w:val="28"/>
          <w:szCs w:val="28"/>
          <w:lang w:val="uk-UA"/>
        </w:rPr>
        <w:t>впровадж</w:t>
      </w:r>
      <w:r w:rsidR="008422BD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E14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B4F" w:rsidRPr="00E96221">
        <w:rPr>
          <w:rFonts w:ascii="Times New Roman" w:hAnsi="Times New Roman" w:cs="Times New Roman"/>
          <w:sz w:val="28"/>
          <w:szCs w:val="28"/>
          <w:lang w:val="uk-UA"/>
        </w:rPr>
        <w:t>єдин</w:t>
      </w:r>
      <w:r w:rsidR="008422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4B4F" w:rsidRPr="00E96221">
        <w:rPr>
          <w:rFonts w:ascii="Times New Roman" w:hAnsi="Times New Roman" w:cs="Times New Roman"/>
          <w:sz w:val="28"/>
          <w:szCs w:val="28"/>
          <w:lang w:val="uk-UA"/>
        </w:rPr>
        <w:t xml:space="preserve"> правил</w:t>
      </w:r>
      <w:r w:rsidR="008422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E4B4F" w:rsidRPr="00E96221">
        <w:rPr>
          <w:rFonts w:ascii="Times New Roman" w:hAnsi="Times New Roman" w:cs="Times New Roman"/>
          <w:sz w:val="28"/>
          <w:szCs w:val="28"/>
          <w:lang w:val="uk-UA"/>
        </w:rPr>
        <w:t xml:space="preserve"> термічної модернізації (утеплення).</w:t>
      </w:r>
    </w:p>
    <w:p w:rsidR="003E4B4F" w:rsidRPr="00E96221" w:rsidRDefault="003E4B4F" w:rsidP="002D4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B4F" w:rsidRPr="00E96221" w:rsidRDefault="003E4B4F" w:rsidP="003E4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221">
        <w:rPr>
          <w:rFonts w:ascii="Times New Roman" w:hAnsi="Times New Roman" w:cs="Times New Roman"/>
          <w:b/>
          <w:sz w:val="28"/>
          <w:szCs w:val="28"/>
          <w:lang w:val="uk-UA"/>
        </w:rPr>
        <w:t>5. Обґрунтування можливості досягнення визначених цілей у разі прийняття регуляторного акту</w:t>
      </w:r>
    </w:p>
    <w:p w:rsidR="003E4B4F" w:rsidRPr="00E96221" w:rsidRDefault="003E4B4F" w:rsidP="003E4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4B4F" w:rsidRPr="00E96221" w:rsidRDefault="003E4B4F" w:rsidP="003E4B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1">
        <w:rPr>
          <w:rFonts w:ascii="Times New Roman" w:hAnsi="Times New Roman" w:cs="Times New Roman"/>
          <w:sz w:val="28"/>
          <w:szCs w:val="28"/>
          <w:lang w:val="uk-UA"/>
        </w:rPr>
        <w:t xml:space="preserve">      Прийняття зазначеного регуляторного акту (єдиних правил термічної модернізації (утеплення) фас</w:t>
      </w:r>
      <w:r w:rsidR="00124B1E" w:rsidRPr="00E96221">
        <w:rPr>
          <w:rFonts w:ascii="Times New Roman" w:hAnsi="Times New Roman" w:cs="Times New Roman"/>
          <w:sz w:val="28"/>
          <w:szCs w:val="28"/>
          <w:lang w:val="uk-UA"/>
        </w:rPr>
        <w:t>адів багатоквартирних будинків), врегулює праві відносини, що виникають між мешканцями багатоквартирних будинків та уповноваженим органом у процесі надання дозволу на термічну модернізацію (утеплення) фасадів багатоквартирних будинків (або його частини</w:t>
      </w:r>
      <w:r w:rsidR="002E5354">
        <w:rPr>
          <w:rFonts w:ascii="Times New Roman" w:hAnsi="Times New Roman" w:cs="Times New Roman"/>
          <w:sz w:val="28"/>
          <w:szCs w:val="28"/>
          <w:lang w:val="uk-UA"/>
        </w:rPr>
        <w:t>, у виняткових випадках</w:t>
      </w:r>
      <w:r w:rsidR="00124B1E" w:rsidRPr="00E96221">
        <w:rPr>
          <w:rFonts w:ascii="Times New Roman" w:hAnsi="Times New Roman" w:cs="Times New Roman"/>
          <w:sz w:val="28"/>
          <w:szCs w:val="28"/>
          <w:lang w:val="uk-UA"/>
        </w:rPr>
        <w:t>), а також надасть можливість більш повного та досконалого регулювання даного питання.</w:t>
      </w:r>
    </w:p>
    <w:p w:rsidR="00124B1E" w:rsidRDefault="00124B1E" w:rsidP="003E4B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FF2">
        <w:rPr>
          <w:rFonts w:ascii="Times New Roman" w:hAnsi="Times New Roman" w:cs="Times New Roman"/>
          <w:sz w:val="28"/>
          <w:szCs w:val="28"/>
          <w:lang w:val="uk-UA"/>
        </w:rPr>
        <w:t>Цілі можуть бути досягнуті, оскільки правилами термічної модернізації (утеплення) багатоповерхових будинків пропонується:</w:t>
      </w:r>
    </w:p>
    <w:p w:rsidR="00E96221" w:rsidRPr="00E96221" w:rsidRDefault="00E96221" w:rsidP="003E4B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B1E" w:rsidRPr="00E96221" w:rsidRDefault="00124B1E" w:rsidP="00E9622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221">
        <w:rPr>
          <w:rFonts w:ascii="Times New Roman" w:eastAsia="Calibri" w:hAnsi="Times New Roman" w:cs="Times New Roman"/>
          <w:sz w:val="28"/>
          <w:szCs w:val="28"/>
          <w:lang w:val="uk-UA"/>
        </w:rPr>
        <w:t>- покращення естетичного вигляду фасадів багатоквартирних будинків;</w:t>
      </w:r>
    </w:p>
    <w:p w:rsidR="00124B1E" w:rsidRPr="00E96221" w:rsidRDefault="00124B1E" w:rsidP="00E9622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221">
        <w:rPr>
          <w:rFonts w:ascii="Times New Roman" w:eastAsia="Calibri" w:hAnsi="Times New Roman" w:cs="Times New Roman"/>
          <w:sz w:val="28"/>
          <w:szCs w:val="28"/>
          <w:lang w:val="uk-UA"/>
        </w:rPr>
        <w:t>- економії енергоресурсів;</w:t>
      </w:r>
    </w:p>
    <w:p w:rsidR="00124B1E" w:rsidRPr="00E96221" w:rsidRDefault="00124B1E" w:rsidP="00E9622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221">
        <w:rPr>
          <w:rFonts w:ascii="Times New Roman" w:eastAsia="Calibri" w:hAnsi="Times New Roman" w:cs="Times New Roman"/>
          <w:sz w:val="28"/>
          <w:szCs w:val="28"/>
          <w:lang w:val="uk-UA"/>
        </w:rPr>
        <w:t>- застосування сучасних опоряджувальних матеріалів з кращими   експлуатаційними показниками;</w:t>
      </w:r>
    </w:p>
    <w:p w:rsidR="00124B1E" w:rsidRPr="00E96221" w:rsidRDefault="00124B1E" w:rsidP="00E9622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221">
        <w:rPr>
          <w:rFonts w:ascii="Times New Roman" w:eastAsia="Calibri" w:hAnsi="Times New Roman" w:cs="Times New Roman"/>
          <w:sz w:val="28"/>
          <w:szCs w:val="28"/>
          <w:lang w:val="uk-UA"/>
        </w:rPr>
        <w:t>- недопущення погіршення технічного стану будинків;</w:t>
      </w:r>
    </w:p>
    <w:p w:rsidR="00124B1E" w:rsidRPr="00E96221" w:rsidRDefault="00124B1E" w:rsidP="00E9622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221">
        <w:rPr>
          <w:rFonts w:ascii="Times New Roman" w:eastAsia="Calibri" w:hAnsi="Times New Roman" w:cs="Times New Roman"/>
          <w:sz w:val="28"/>
          <w:szCs w:val="28"/>
          <w:lang w:val="uk-UA"/>
        </w:rPr>
        <w:t>- недопущення порушення тривкості або руйнації несучих конструкцій;</w:t>
      </w:r>
    </w:p>
    <w:p w:rsidR="00124B1E" w:rsidRPr="00E96221" w:rsidRDefault="00124B1E" w:rsidP="00E9622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221">
        <w:rPr>
          <w:rFonts w:ascii="Times New Roman" w:eastAsia="Calibri" w:hAnsi="Times New Roman" w:cs="Times New Roman"/>
          <w:sz w:val="28"/>
          <w:szCs w:val="28"/>
          <w:lang w:val="uk-UA"/>
        </w:rPr>
        <w:t>- недопущення порушення вимог протипожежної безпеки;</w:t>
      </w:r>
    </w:p>
    <w:p w:rsidR="00124B1E" w:rsidRPr="00E96221" w:rsidRDefault="00124B1E" w:rsidP="00E9622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1">
        <w:rPr>
          <w:rFonts w:ascii="Times New Roman" w:eastAsia="Calibri" w:hAnsi="Times New Roman" w:cs="Times New Roman"/>
          <w:sz w:val="28"/>
          <w:szCs w:val="28"/>
          <w:lang w:val="uk-UA"/>
        </w:rPr>
        <w:t>- додержання державних будівельних норм, стандартів та правил.</w:t>
      </w:r>
    </w:p>
    <w:p w:rsidR="008463B8" w:rsidRPr="00E96221" w:rsidRDefault="008463B8" w:rsidP="00E9622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3B8" w:rsidRPr="00E96221" w:rsidRDefault="008463B8" w:rsidP="008463B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221">
        <w:rPr>
          <w:rFonts w:ascii="Times New Roman" w:hAnsi="Times New Roman" w:cs="Times New Roman"/>
          <w:b/>
          <w:sz w:val="28"/>
          <w:szCs w:val="28"/>
          <w:lang w:val="uk-UA"/>
        </w:rPr>
        <w:t>6. Визначення очікуваних результатів прийняття акта</w:t>
      </w:r>
    </w:p>
    <w:p w:rsidR="008463B8" w:rsidRPr="00E96221" w:rsidRDefault="008463B8" w:rsidP="008463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1">
        <w:rPr>
          <w:rFonts w:ascii="Times New Roman" w:hAnsi="Times New Roman" w:cs="Times New Roman"/>
          <w:sz w:val="28"/>
          <w:szCs w:val="28"/>
          <w:lang w:val="uk-UA"/>
        </w:rPr>
        <w:t xml:space="preserve">      Внаслідок прийняття правил про т</w:t>
      </w:r>
      <w:r w:rsidR="00E169EE">
        <w:rPr>
          <w:rFonts w:ascii="Times New Roman" w:hAnsi="Times New Roman" w:cs="Times New Roman"/>
          <w:sz w:val="28"/>
          <w:szCs w:val="28"/>
          <w:lang w:val="uk-UA"/>
        </w:rPr>
        <w:t>ермічну модернізацію (утеплення)</w:t>
      </w:r>
      <w:r w:rsidRPr="00E96221">
        <w:rPr>
          <w:rFonts w:ascii="Times New Roman" w:hAnsi="Times New Roman" w:cs="Times New Roman"/>
          <w:sz w:val="28"/>
          <w:szCs w:val="28"/>
          <w:lang w:val="uk-UA"/>
        </w:rPr>
        <w:t xml:space="preserve"> фасадів багатоквартирних будинків їх мешканцями на території міста Миколаєва, буде впорядковано процеси утеплення фасадів будинків та врегульовано відносини мешканців багатоквартирних будинків, які виявили бажання/намір здійснити зовнішнє утеплення фасаду будинку (або його частини) з органами місцевого самоврядування під час виконання  термічної модернізації (утеплення).</w:t>
      </w:r>
    </w:p>
    <w:p w:rsidR="008463B8" w:rsidRPr="00E96221" w:rsidRDefault="008463B8" w:rsidP="008463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221">
        <w:rPr>
          <w:rFonts w:ascii="Times New Roman" w:hAnsi="Times New Roman" w:cs="Times New Roman"/>
          <w:b/>
          <w:sz w:val="28"/>
          <w:szCs w:val="28"/>
          <w:lang w:val="uk-UA"/>
        </w:rPr>
        <w:t>7. Строк дії регуляторного акту</w:t>
      </w:r>
    </w:p>
    <w:p w:rsidR="008463B8" w:rsidRPr="00E145A5" w:rsidRDefault="00E145A5" w:rsidP="007648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6482D" w:rsidRPr="00E96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Початок </w:t>
      </w:r>
      <w:r w:rsidR="0076482D" w:rsidRPr="00E14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впровадження регуляторного акта з дати</w:t>
      </w:r>
      <w:r w:rsidRPr="00E14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6482D" w:rsidRPr="00E14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його</w:t>
      </w:r>
      <w:r w:rsidRPr="00E14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6482D" w:rsidRPr="00E14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прийняття</w:t>
      </w:r>
      <w:r w:rsidR="002E5354" w:rsidRPr="00E14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оприлюднення</w:t>
      </w:r>
      <w:r w:rsidR="0076482D" w:rsidRPr="00E14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Строк дії зазначеного регуляторного акту необмежений.</w:t>
      </w:r>
    </w:p>
    <w:p w:rsidR="0076482D" w:rsidRPr="00E96221" w:rsidRDefault="0076482D" w:rsidP="007648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14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У разі потреби, за підсумками аналізу відстеження</w:t>
      </w:r>
      <w:r w:rsidRPr="00E96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його результативності до нього будуть вноситься відповідні зміни.</w:t>
      </w:r>
    </w:p>
    <w:p w:rsidR="0076482D" w:rsidRPr="00E96221" w:rsidRDefault="0076482D" w:rsidP="007648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6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При виникненні змін у чинному законодавстві, які можуть впливати на дію запропонованого регуляторного акта, до нього будуть вноситися відповідні корективи. </w:t>
      </w:r>
    </w:p>
    <w:p w:rsidR="0076482D" w:rsidRPr="00E96221" w:rsidRDefault="0076482D" w:rsidP="007648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6482D" w:rsidRPr="00E96221" w:rsidRDefault="0076482D" w:rsidP="0076482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9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8. Визначення показників результативності акта</w:t>
      </w:r>
    </w:p>
    <w:p w:rsidR="0076482D" w:rsidRPr="00E96221" w:rsidRDefault="0076482D" w:rsidP="0076482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76482D" w:rsidRPr="00E96221" w:rsidRDefault="0076482D" w:rsidP="007648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6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Результативність регуляторного впливу рішення</w:t>
      </w:r>
      <w:r w:rsidR="00E14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комітету</w:t>
      </w:r>
      <w:r w:rsidRPr="00E96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Миколаївської міської ради "Про затвердження правил термічної модернізації (утеплення) фасадів багатоквартирних будинків  на території міста Миколаєва" визначатиметься за такими показниками:</w:t>
      </w:r>
    </w:p>
    <w:p w:rsidR="0076482D" w:rsidRPr="00E96221" w:rsidRDefault="0076482D" w:rsidP="007648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6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- формування єдиного підходу до термічної модернізації (утеплення) фасадів багатоквартирних будинків;</w:t>
      </w:r>
    </w:p>
    <w:p w:rsidR="0076482D" w:rsidRPr="00E96221" w:rsidRDefault="0076482D" w:rsidP="007648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6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- зменшення самовільної термічної модернізації (утеплення) фасадів багатоквартирних будинків;</w:t>
      </w:r>
    </w:p>
    <w:p w:rsidR="0076482D" w:rsidRPr="00E96221" w:rsidRDefault="0076482D" w:rsidP="007648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F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- </w:t>
      </w:r>
      <w:r w:rsidR="008D1EAD" w:rsidRPr="004F5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ефективність конструктивних схем запропонованих в правилах термічної модернізації (утеплення) фасадів багатоквартирних будинків.</w:t>
      </w:r>
    </w:p>
    <w:p w:rsidR="008D1EAD" w:rsidRPr="00E96221" w:rsidRDefault="008D1EAD" w:rsidP="007648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D1EAD" w:rsidRPr="00E96221" w:rsidRDefault="008D1EAD" w:rsidP="008D1EA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96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9. Визначення заходів за допомогою яких здійснюватиметься відстеження результативності акта</w:t>
      </w:r>
    </w:p>
    <w:p w:rsidR="008D1EAD" w:rsidRPr="00E96221" w:rsidRDefault="008D1EAD" w:rsidP="008D1EA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8D1EAD" w:rsidRPr="00E96221" w:rsidRDefault="008D1EAD" w:rsidP="008D1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6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Визначення результативності правил термічної модернізації (утеплення) фасадів багатоквартирних будинків їх мешканцями на території міста Миколаєва за річними звітними показниками департаменту енергетики, енергозбереження та запровадження інноваційних технологій Миколаївської міської ради.</w:t>
      </w:r>
    </w:p>
    <w:p w:rsidR="008D1EAD" w:rsidRPr="00E96221" w:rsidRDefault="008D1EAD" w:rsidP="008D1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6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Пропозиції та зауваження до проекту правил </w:t>
      </w:r>
      <w:r w:rsidR="00E53D25" w:rsidRPr="00E96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термічної модернізації (утеплення) фасадів багатоквартирних будинків їх мешканцями на території міста Миколаєва приймаються від фізичних та юридичних осіб протягом одного місяця з дня його оприлюднення на адресу: 54000 м. Миколаїв, вул. Адміральська, 20 департамент енергетики, енергозбереження та запровадження інноваційних технологій</w:t>
      </w:r>
      <w:r w:rsidR="002E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Миколаївської міської ради</w:t>
      </w:r>
      <w:r w:rsidR="00E53D25" w:rsidRPr="00E96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6482D" w:rsidRPr="00E96221" w:rsidRDefault="0076482D" w:rsidP="007648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B1E" w:rsidRPr="008D1EAD" w:rsidRDefault="00124B1E" w:rsidP="008463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B1E" w:rsidRPr="002E5354" w:rsidRDefault="00124B1E" w:rsidP="00124B1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E4B4F" w:rsidRDefault="003E4B4F" w:rsidP="005271FB">
      <w:pPr>
        <w:spacing w:after="0"/>
        <w:rPr>
          <w:rFonts w:cs="Times New Roman"/>
          <w:sz w:val="24"/>
          <w:szCs w:val="24"/>
          <w:lang w:val="uk-UA"/>
        </w:rPr>
      </w:pPr>
    </w:p>
    <w:p w:rsidR="004F5FF2" w:rsidRDefault="004F5FF2" w:rsidP="005271FB">
      <w:pPr>
        <w:spacing w:after="0"/>
        <w:rPr>
          <w:rFonts w:cs="Times New Roman"/>
          <w:sz w:val="24"/>
          <w:szCs w:val="24"/>
          <w:lang w:val="uk-UA"/>
        </w:rPr>
      </w:pPr>
    </w:p>
    <w:p w:rsidR="004F5FF2" w:rsidRDefault="004F5FF2" w:rsidP="005271F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енергетики,</w:t>
      </w:r>
    </w:p>
    <w:p w:rsidR="004F5FF2" w:rsidRDefault="004F5FF2" w:rsidP="005271F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енергозбереження та запровадження </w:t>
      </w:r>
    </w:p>
    <w:p w:rsidR="004F5FF2" w:rsidRDefault="004F5FF2" w:rsidP="005271F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інноваційних технологій</w:t>
      </w:r>
    </w:p>
    <w:p w:rsidR="004F5FF2" w:rsidRPr="004F5FF2" w:rsidRDefault="004F5FF2" w:rsidP="005271F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Миколаївської міської ради                                    </w:t>
      </w:r>
      <w:r w:rsidR="00E145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В.П. Булах </w:t>
      </w:r>
    </w:p>
    <w:p w:rsidR="004F5FF2" w:rsidRDefault="004F5FF2" w:rsidP="005271FB">
      <w:pPr>
        <w:spacing w:after="0"/>
        <w:rPr>
          <w:rFonts w:cs="Times New Roman"/>
          <w:sz w:val="24"/>
          <w:szCs w:val="24"/>
          <w:lang w:val="uk-UA"/>
        </w:rPr>
      </w:pPr>
    </w:p>
    <w:p w:rsidR="004F5FF2" w:rsidRDefault="004F5FF2" w:rsidP="005271FB">
      <w:pPr>
        <w:spacing w:after="0"/>
        <w:rPr>
          <w:rFonts w:cs="Times New Roman"/>
          <w:sz w:val="24"/>
          <w:szCs w:val="24"/>
          <w:lang w:val="uk-UA"/>
        </w:rPr>
      </w:pPr>
    </w:p>
    <w:p w:rsidR="004F5FF2" w:rsidRDefault="004F5FF2" w:rsidP="005271FB">
      <w:pPr>
        <w:spacing w:after="0"/>
        <w:rPr>
          <w:rFonts w:cs="Times New Roman"/>
          <w:sz w:val="24"/>
          <w:szCs w:val="24"/>
          <w:lang w:val="uk-UA"/>
        </w:rPr>
      </w:pPr>
    </w:p>
    <w:p w:rsidR="004F5FF2" w:rsidRDefault="004F5FF2" w:rsidP="005271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2392" w:rsidRDefault="002C2392" w:rsidP="005271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2392" w:rsidRDefault="002C2392" w:rsidP="005271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2392" w:rsidRDefault="002C2392" w:rsidP="005271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2392" w:rsidRDefault="002C2392" w:rsidP="005271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2392" w:rsidRDefault="002C2392" w:rsidP="005271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2392" w:rsidRDefault="002C2392" w:rsidP="005271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2392" w:rsidRDefault="002C2392" w:rsidP="005271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2392" w:rsidRDefault="002C2392" w:rsidP="005271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2392" w:rsidRDefault="002C2392" w:rsidP="005271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2392" w:rsidRDefault="002C2392" w:rsidP="005271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2392" w:rsidRDefault="002C2392" w:rsidP="002C2392">
      <w:pPr>
        <w:ind w:left="4500"/>
        <w:jc w:val="both"/>
        <w:rPr>
          <w:sz w:val="26"/>
          <w:szCs w:val="26"/>
          <w:lang w:val="uk-UA"/>
        </w:rPr>
      </w:pPr>
      <w:r w:rsidRPr="007A72F5">
        <w:rPr>
          <w:sz w:val="26"/>
          <w:szCs w:val="26"/>
          <w:lang w:val="uk-UA"/>
        </w:rPr>
        <w:lastRenderedPageBreak/>
        <w:t xml:space="preserve">Додаток </w:t>
      </w:r>
      <w:r>
        <w:rPr>
          <w:sz w:val="26"/>
          <w:szCs w:val="26"/>
          <w:lang w:val="uk-UA"/>
        </w:rPr>
        <w:t>4</w:t>
      </w:r>
    </w:p>
    <w:p w:rsidR="002C2392" w:rsidRPr="007A72F5" w:rsidRDefault="002C2392" w:rsidP="002C2392">
      <w:pPr>
        <w:ind w:left="4500"/>
        <w:jc w:val="both"/>
        <w:rPr>
          <w:sz w:val="26"/>
          <w:szCs w:val="26"/>
          <w:lang w:val="uk-UA"/>
        </w:rPr>
      </w:pPr>
      <w:r w:rsidRPr="007A72F5">
        <w:rPr>
          <w:sz w:val="26"/>
          <w:szCs w:val="26"/>
          <w:lang w:val="uk-UA"/>
        </w:rPr>
        <w:t xml:space="preserve">до Аналізу регуляторного впливу проекту рішення </w:t>
      </w:r>
      <w:r>
        <w:rPr>
          <w:sz w:val="26"/>
          <w:szCs w:val="26"/>
          <w:lang w:val="uk-UA"/>
        </w:rPr>
        <w:t>виконавчого комітету Миколаївської міської ради "Про затвердження правил термічної модернізації (утеплення) фасадів багатоквартирних будинків на території міста Миколаєва"</w:t>
      </w:r>
    </w:p>
    <w:p w:rsidR="002C2392" w:rsidRPr="007A72F5" w:rsidRDefault="002C2392" w:rsidP="002C2392">
      <w:pPr>
        <w:rPr>
          <w:sz w:val="26"/>
          <w:szCs w:val="26"/>
          <w:lang w:val="uk-UA"/>
        </w:rPr>
      </w:pPr>
    </w:p>
    <w:p w:rsidR="002C2392" w:rsidRPr="007A72F5" w:rsidRDefault="002C2392" w:rsidP="002C2392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7A72F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ТЕСТ</w:t>
      </w:r>
    </w:p>
    <w:p w:rsidR="002C2392" w:rsidRPr="007A72F5" w:rsidRDefault="002C2392" w:rsidP="002C2392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7A72F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малого підприємництва (М-Тест)</w:t>
      </w:r>
    </w:p>
    <w:p w:rsidR="002C2392" w:rsidRPr="007A72F5" w:rsidRDefault="002C2392" w:rsidP="002C2392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:rsidR="002C2392" w:rsidRPr="00AD61A9" w:rsidRDefault="002C2392" w:rsidP="002C239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6"/>
          <w:szCs w:val="26"/>
        </w:rPr>
      </w:pPr>
      <w:bookmarkStart w:id="0" w:name="n200"/>
      <w:bookmarkEnd w:id="0"/>
      <w:r w:rsidRPr="00AD61A9">
        <w:rPr>
          <w:b/>
          <w:color w:val="000000"/>
          <w:sz w:val="26"/>
          <w:szCs w:val="26"/>
        </w:rPr>
        <w:t xml:space="preserve">1. Консультації з представниками </w:t>
      </w:r>
      <w:r w:rsidRPr="00AD61A9">
        <w:rPr>
          <w:b/>
          <w:sz w:val="26"/>
          <w:szCs w:val="26"/>
          <w:lang w:val="en-US"/>
        </w:rPr>
        <w:t>c</w:t>
      </w:r>
      <w:proofErr w:type="spellStart"/>
      <w:r w:rsidRPr="00AD61A9">
        <w:rPr>
          <w:b/>
          <w:sz w:val="26"/>
          <w:szCs w:val="26"/>
        </w:rPr>
        <w:t>уб`єкт</w:t>
      </w:r>
      <w:r w:rsidRPr="00346B80">
        <w:rPr>
          <w:b/>
          <w:sz w:val="26"/>
          <w:szCs w:val="26"/>
        </w:rPr>
        <w:t>ів</w:t>
      </w:r>
      <w:proofErr w:type="spellEnd"/>
      <w:r w:rsidRPr="00AD61A9">
        <w:rPr>
          <w:b/>
          <w:sz w:val="26"/>
          <w:szCs w:val="26"/>
        </w:rPr>
        <w:t xml:space="preserve"> господарювання (ОСББ, </w:t>
      </w:r>
      <w:r>
        <w:rPr>
          <w:b/>
          <w:sz w:val="26"/>
          <w:szCs w:val="26"/>
        </w:rPr>
        <w:t>співвласників багатоквартирних будинків "фізичних та юридичних осіб"</w:t>
      </w:r>
      <w:r w:rsidRPr="00AD61A9">
        <w:rPr>
          <w:b/>
          <w:sz w:val="26"/>
          <w:szCs w:val="26"/>
        </w:rPr>
        <w:t xml:space="preserve">) </w:t>
      </w:r>
      <w:r w:rsidRPr="00AD61A9">
        <w:rPr>
          <w:b/>
          <w:color w:val="000000"/>
          <w:sz w:val="26"/>
          <w:szCs w:val="26"/>
        </w:rPr>
        <w:t>щодо оцінки впливу регулювання</w:t>
      </w:r>
    </w:p>
    <w:p w:rsidR="002C2392" w:rsidRPr="007A72F5" w:rsidRDefault="002C2392" w:rsidP="002C239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bookmarkStart w:id="1" w:name="n201"/>
      <w:bookmarkEnd w:id="1"/>
      <w:r w:rsidRPr="007A72F5">
        <w:rPr>
          <w:color w:val="000000"/>
          <w:sz w:val="26"/>
          <w:szCs w:val="26"/>
        </w:rPr>
        <w:t xml:space="preserve">Консультації щодо визначення впливу запропонованого регулювання на </w:t>
      </w:r>
      <w:r>
        <w:rPr>
          <w:sz w:val="26"/>
          <w:szCs w:val="26"/>
        </w:rPr>
        <w:t>с</w:t>
      </w:r>
      <w:r w:rsidRPr="007A72F5">
        <w:rPr>
          <w:sz w:val="26"/>
          <w:szCs w:val="26"/>
        </w:rPr>
        <w:t>уб`</w:t>
      </w:r>
      <w:r>
        <w:rPr>
          <w:sz w:val="26"/>
          <w:szCs w:val="26"/>
        </w:rPr>
        <w:t>єктів</w:t>
      </w:r>
      <w:r w:rsidRPr="007A72F5">
        <w:rPr>
          <w:sz w:val="26"/>
          <w:szCs w:val="26"/>
        </w:rPr>
        <w:t xml:space="preserve"> господарювання </w:t>
      </w:r>
      <w:r w:rsidRPr="00346B80">
        <w:rPr>
          <w:sz w:val="26"/>
          <w:szCs w:val="26"/>
        </w:rPr>
        <w:t>(ОСББ, співвласники багатоквартирного будинку "фізичні та юридичні особи")</w:t>
      </w:r>
      <w:r w:rsidRPr="007A72F5">
        <w:rPr>
          <w:color w:val="000000"/>
          <w:sz w:val="26"/>
          <w:szCs w:val="26"/>
        </w:rPr>
        <w:t>та визначення детального переліку процедур, виконання яких необхідно для здійснення регулювання, пров</w:t>
      </w:r>
      <w:r>
        <w:rPr>
          <w:color w:val="000000"/>
          <w:sz w:val="26"/>
          <w:szCs w:val="26"/>
        </w:rPr>
        <w:t>едено Департаментом енергетики, енергозбереження та запровадження інноваційних технологій Миколаївської міської ради у період з 01 червня 2017 року по 28липня</w:t>
      </w:r>
      <w:r w:rsidRPr="007A72F5">
        <w:rPr>
          <w:color w:val="000000"/>
          <w:sz w:val="26"/>
          <w:szCs w:val="26"/>
        </w:rPr>
        <w:t xml:space="preserve"> 2017 року.</w:t>
      </w:r>
    </w:p>
    <w:p w:rsidR="002C2392" w:rsidRPr="007A72F5" w:rsidRDefault="002C2392" w:rsidP="002C239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8"/>
        <w:gridCol w:w="4003"/>
        <w:gridCol w:w="1869"/>
        <w:gridCol w:w="3059"/>
      </w:tblGrid>
      <w:tr w:rsidR="002C2392" w:rsidRPr="007A72F5" w:rsidTr="008F21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92" w:rsidRPr="007A72F5" w:rsidRDefault="002C2392" w:rsidP="008F21F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A72F5">
              <w:rPr>
                <w:b/>
                <w:sz w:val="26"/>
                <w:szCs w:val="26"/>
                <w:lang w:val="uk-UA"/>
              </w:rPr>
              <w:t>№</w:t>
            </w:r>
          </w:p>
          <w:p w:rsidR="002C2392" w:rsidRPr="007A72F5" w:rsidRDefault="002C2392" w:rsidP="008F21F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A72F5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92" w:rsidRPr="007A72F5" w:rsidRDefault="002C2392" w:rsidP="008F21F5">
            <w:pPr>
              <w:ind w:left="-104" w:right="-70"/>
              <w:jc w:val="center"/>
              <w:rPr>
                <w:b/>
                <w:sz w:val="26"/>
                <w:szCs w:val="26"/>
                <w:lang w:val="uk-UA"/>
              </w:rPr>
            </w:pPr>
            <w:r w:rsidRPr="007A72F5">
              <w:rPr>
                <w:b/>
                <w:sz w:val="26"/>
                <w:szCs w:val="26"/>
                <w:lang w:val="uk-UA"/>
              </w:rPr>
              <w:t>Вид консультації</w:t>
            </w:r>
            <w:r>
              <w:rPr>
                <w:b/>
                <w:sz w:val="26"/>
                <w:szCs w:val="26"/>
                <w:lang w:val="uk-UA"/>
              </w:rPr>
              <w:t xml:space="preserve">: </w:t>
            </w:r>
            <w:r w:rsidRPr="007A72F5">
              <w:rPr>
                <w:b/>
                <w:sz w:val="26"/>
                <w:szCs w:val="26"/>
                <w:lang w:val="uk-UA"/>
              </w:rPr>
              <w:t xml:space="preserve">публічні консультації прямі (круглі столи, наради, робочі зустрічі тощо), </w:t>
            </w:r>
            <w:proofErr w:type="spellStart"/>
            <w:r w:rsidRPr="007A72F5">
              <w:rPr>
                <w:b/>
                <w:sz w:val="26"/>
                <w:szCs w:val="26"/>
                <w:lang w:val="uk-UA"/>
              </w:rPr>
              <w:t>інтернет-консультації</w:t>
            </w:r>
            <w:proofErr w:type="spellEnd"/>
            <w:r w:rsidRPr="007A72F5">
              <w:rPr>
                <w:b/>
                <w:sz w:val="26"/>
                <w:szCs w:val="26"/>
                <w:lang w:val="uk-UA"/>
              </w:rPr>
              <w:t xml:space="preserve"> прямі (</w:t>
            </w:r>
            <w:proofErr w:type="spellStart"/>
            <w:r w:rsidRPr="007A72F5">
              <w:rPr>
                <w:b/>
                <w:sz w:val="26"/>
                <w:szCs w:val="26"/>
                <w:lang w:val="uk-UA"/>
              </w:rPr>
              <w:t>інтернет-форуми</w:t>
            </w:r>
            <w:proofErr w:type="spellEnd"/>
            <w:r w:rsidRPr="007A72F5">
              <w:rPr>
                <w:b/>
                <w:sz w:val="26"/>
                <w:szCs w:val="26"/>
                <w:lang w:val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92" w:rsidRPr="007A72F5" w:rsidRDefault="002C2392" w:rsidP="008F21F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A72F5">
              <w:rPr>
                <w:b/>
                <w:sz w:val="26"/>
                <w:szCs w:val="26"/>
                <w:lang w:val="uk-UA"/>
              </w:rPr>
              <w:t>Кількість учасників консультацій, осіб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92" w:rsidRPr="007A72F5" w:rsidRDefault="002C2392" w:rsidP="008F21F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A72F5">
              <w:rPr>
                <w:b/>
                <w:sz w:val="26"/>
                <w:szCs w:val="26"/>
                <w:lang w:val="uk-UA"/>
              </w:rPr>
              <w:t>Основні результати консультацій (опис)</w:t>
            </w:r>
          </w:p>
        </w:tc>
      </w:tr>
      <w:tr w:rsidR="002C2392" w:rsidRPr="007A72F5" w:rsidTr="008F21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92" w:rsidRPr="007A72F5" w:rsidRDefault="002C2392" w:rsidP="008F21F5">
            <w:pPr>
              <w:rPr>
                <w:sz w:val="26"/>
                <w:szCs w:val="26"/>
                <w:lang w:val="uk-UA"/>
              </w:rPr>
            </w:pPr>
            <w:r w:rsidRPr="007A72F5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92" w:rsidRPr="007A72F5" w:rsidRDefault="002C2392" w:rsidP="008F21F5">
            <w:pPr>
              <w:jc w:val="both"/>
              <w:rPr>
                <w:sz w:val="26"/>
                <w:szCs w:val="26"/>
                <w:lang w:val="uk-UA"/>
              </w:rPr>
            </w:pPr>
            <w:r w:rsidRPr="007A72F5">
              <w:rPr>
                <w:sz w:val="26"/>
                <w:szCs w:val="26"/>
                <w:lang w:val="uk-UA"/>
              </w:rPr>
              <w:t xml:space="preserve">Зустрічі з окремими суб’єктами господарювання (ОСББ, </w:t>
            </w:r>
            <w:r>
              <w:rPr>
                <w:sz w:val="26"/>
                <w:szCs w:val="26"/>
                <w:lang w:val="uk-UA"/>
              </w:rPr>
              <w:t>співвласниками багатоквартирних будинків "фізичні та юридичні особи")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92" w:rsidRPr="00276E21" w:rsidRDefault="002C2392" w:rsidP="008F21F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92" w:rsidRPr="007A72F5" w:rsidRDefault="002C2392" w:rsidP="008F21F5">
            <w:pPr>
              <w:jc w:val="center"/>
              <w:rPr>
                <w:sz w:val="26"/>
                <w:szCs w:val="26"/>
                <w:lang w:val="uk-UA"/>
              </w:rPr>
            </w:pPr>
            <w:r w:rsidRPr="007A72F5">
              <w:rPr>
                <w:sz w:val="26"/>
                <w:szCs w:val="26"/>
                <w:lang w:val="uk-UA"/>
              </w:rPr>
              <w:t>Отримано пропозиції щодо вдосконалення розробленого проекту регуляторного акту</w:t>
            </w:r>
          </w:p>
        </w:tc>
      </w:tr>
    </w:tbl>
    <w:p w:rsidR="002C2392" w:rsidRPr="007A72F5" w:rsidRDefault="002C2392" w:rsidP="002C2392">
      <w:pPr>
        <w:ind w:firstLine="709"/>
        <w:jc w:val="both"/>
        <w:rPr>
          <w:sz w:val="26"/>
          <w:szCs w:val="26"/>
          <w:lang w:val="uk-UA"/>
        </w:rPr>
      </w:pPr>
    </w:p>
    <w:p w:rsidR="002C2392" w:rsidRPr="00806FB4" w:rsidRDefault="002C2392" w:rsidP="002C239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  <w:bookmarkStart w:id="2" w:name="n204"/>
      <w:bookmarkEnd w:id="2"/>
      <w:r w:rsidRPr="00806FB4">
        <w:rPr>
          <w:b/>
          <w:sz w:val="26"/>
          <w:szCs w:val="26"/>
          <w:lang w:eastAsia="ru-RU"/>
        </w:rPr>
        <w:t xml:space="preserve">2. Вимірювання впливу регулювання на </w:t>
      </w:r>
      <w:r w:rsidRPr="00806FB4">
        <w:rPr>
          <w:b/>
          <w:sz w:val="26"/>
          <w:szCs w:val="26"/>
        </w:rPr>
        <w:t>суб`єктів</w:t>
      </w:r>
      <w:r>
        <w:rPr>
          <w:b/>
          <w:sz w:val="26"/>
          <w:szCs w:val="26"/>
        </w:rPr>
        <w:t xml:space="preserve"> господарювання </w:t>
      </w:r>
      <w:r w:rsidRPr="008E0E97">
        <w:rPr>
          <w:b/>
          <w:sz w:val="26"/>
          <w:szCs w:val="26"/>
        </w:rPr>
        <w:t xml:space="preserve">(ОСББ, співвласники багатоквартирного будинку "фізичні та юридичні особи", </w:t>
      </w:r>
      <w:r w:rsidRPr="00806FB4">
        <w:rPr>
          <w:b/>
          <w:sz w:val="26"/>
          <w:szCs w:val="26"/>
          <w:lang w:eastAsia="ru-RU"/>
        </w:rPr>
        <w:t>малі):</w:t>
      </w:r>
    </w:p>
    <w:p w:rsidR="002C2392" w:rsidRPr="008E0E97" w:rsidRDefault="002C2392" w:rsidP="002C239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7A72F5">
        <w:rPr>
          <w:sz w:val="26"/>
          <w:szCs w:val="26"/>
          <w:lang w:eastAsia="ru-RU"/>
        </w:rPr>
        <w:lastRenderedPageBreak/>
        <w:t xml:space="preserve">кількість </w:t>
      </w:r>
      <w:r>
        <w:rPr>
          <w:sz w:val="26"/>
          <w:szCs w:val="26"/>
        </w:rPr>
        <w:t>с</w:t>
      </w:r>
      <w:r w:rsidRPr="007A72F5">
        <w:rPr>
          <w:sz w:val="26"/>
          <w:szCs w:val="26"/>
        </w:rPr>
        <w:t>уб`</w:t>
      </w:r>
      <w:r>
        <w:rPr>
          <w:sz w:val="26"/>
          <w:szCs w:val="26"/>
        </w:rPr>
        <w:t>єктів</w:t>
      </w:r>
      <w:r w:rsidRPr="007A72F5">
        <w:rPr>
          <w:sz w:val="26"/>
          <w:szCs w:val="26"/>
        </w:rPr>
        <w:t xml:space="preserve"> господарювання (ОСББ, </w:t>
      </w:r>
      <w:r w:rsidRPr="00346B80">
        <w:rPr>
          <w:sz w:val="26"/>
          <w:szCs w:val="26"/>
        </w:rPr>
        <w:t>співвласники багатоквартирн</w:t>
      </w:r>
      <w:r>
        <w:rPr>
          <w:sz w:val="26"/>
          <w:szCs w:val="26"/>
        </w:rPr>
        <w:t>их</w:t>
      </w:r>
      <w:r w:rsidRPr="00346B80">
        <w:rPr>
          <w:sz w:val="26"/>
          <w:szCs w:val="26"/>
        </w:rPr>
        <w:t xml:space="preserve"> будинк</w:t>
      </w:r>
      <w:r>
        <w:rPr>
          <w:sz w:val="26"/>
          <w:szCs w:val="26"/>
        </w:rPr>
        <w:t>ів</w:t>
      </w:r>
      <w:r w:rsidRPr="00346B80">
        <w:rPr>
          <w:sz w:val="26"/>
          <w:szCs w:val="26"/>
        </w:rPr>
        <w:t xml:space="preserve"> "фізичні та юридичні особи")</w:t>
      </w:r>
      <w:r w:rsidRPr="007A72F5"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>на яких поширюється регулювання більше 3000 багатоквартирних житлових будинків</w:t>
      </w:r>
      <w:r w:rsidRPr="008E0E97">
        <w:rPr>
          <w:sz w:val="26"/>
          <w:szCs w:val="26"/>
          <w:lang w:eastAsia="ru-RU"/>
        </w:rPr>
        <w:t>;</w:t>
      </w:r>
      <w:bookmarkStart w:id="3" w:name="n205"/>
      <w:bookmarkEnd w:id="3"/>
    </w:p>
    <w:p w:rsidR="002C2392" w:rsidRPr="007A72F5" w:rsidRDefault="002C2392" w:rsidP="002C239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7A72F5">
        <w:rPr>
          <w:sz w:val="26"/>
          <w:szCs w:val="26"/>
          <w:lang w:eastAsia="ru-RU"/>
        </w:rPr>
        <w:t xml:space="preserve">питома вага </w:t>
      </w:r>
      <w:r>
        <w:rPr>
          <w:sz w:val="26"/>
          <w:szCs w:val="26"/>
        </w:rPr>
        <w:t>с</w:t>
      </w:r>
      <w:r w:rsidRPr="007A72F5">
        <w:rPr>
          <w:sz w:val="26"/>
          <w:szCs w:val="26"/>
        </w:rPr>
        <w:t>уб`</w:t>
      </w:r>
      <w:r>
        <w:rPr>
          <w:sz w:val="26"/>
          <w:szCs w:val="26"/>
        </w:rPr>
        <w:t>єктів</w:t>
      </w:r>
      <w:r w:rsidRPr="007A72F5">
        <w:rPr>
          <w:sz w:val="26"/>
          <w:szCs w:val="26"/>
        </w:rPr>
        <w:t xml:space="preserve"> господарювання </w:t>
      </w:r>
      <w:r>
        <w:rPr>
          <w:sz w:val="26"/>
          <w:szCs w:val="26"/>
        </w:rPr>
        <w:t>(</w:t>
      </w:r>
      <w:r w:rsidRPr="00346B80">
        <w:rPr>
          <w:sz w:val="26"/>
          <w:szCs w:val="26"/>
        </w:rPr>
        <w:t>ОСББ, співвласник</w:t>
      </w:r>
      <w:r>
        <w:rPr>
          <w:sz w:val="26"/>
          <w:szCs w:val="26"/>
        </w:rPr>
        <w:t>ів</w:t>
      </w:r>
      <w:r w:rsidRPr="00346B80">
        <w:rPr>
          <w:sz w:val="26"/>
          <w:szCs w:val="26"/>
        </w:rPr>
        <w:t xml:space="preserve"> багатоквартирн</w:t>
      </w:r>
      <w:r>
        <w:rPr>
          <w:sz w:val="26"/>
          <w:szCs w:val="26"/>
        </w:rPr>
        <w:t>их</w:t>
      </w:r>
      <w:r w:rsidRPr="00346B80">
        <w:rPr>
          <w:sz w:val="26"/>
          <w:szCs w:val="26"/>
        </w:rPr>
        <w:t xml:space="preserve"> будинк</w:t>
      </w:r>
      <w:r>
        <w:rPr>
          <w:sz w:val="26"/>
          <w:szCs w:val="26"/>
        </w:rPr>
        <w:t>ів</w:t>
      </w:r>
      <w:r w:rsidRPr="00346B80">
        <w:rPr>
          <w:sz w:val="26"/>
          <w:szCs w:val="26"/>
        </w:rPr>
        <w:t xml:space="preserve"> "фізичні та юридичні особи")</w:t>
      </w:r>
      <w:r w:rsidRPr="007A72F5">
        <w:rPr>
          <w:sz w:val="26"/>
          <w:szCs w:val="26"/>
          <w:lang w:eastAsia="ru-RU"/>
        </w:rPr>
        <w:t xml:space="preserve">у загальній кількості суб’єктів господарювання, на яких проблема справляє вплив </w:t>
      </w:r>
      <w:r>
        <w:rPr>
          <w:sz w:val="26"/>
          <w:szCs w:val="26"/>
          <w:lang w:eastAsia="ru-RU"/>
        </w:rPr>
        <w:t>приблизно 95</w:t>
      </w:r>
      <w:r w:rsidRPr="007A72F5">
        <w:rPr>
          <w:sz w:val="26"/>
          <w:szCs w:val="26"/>
          <w:lang w:eastAsia="ru-RU"/>
        </w:rPr>
        <w:t>% (відповідно до таблиці “Оцінка впливу на сферу інтересів суб’єктів господарювання”).</w:t>
      </w:r>
    </w:p>
    <w:p w:rsidR="002C2392" w:rsidRPr="007A72F5" w:rsidRDefault="002C2392" w:rsidP="002C2392">
      <w:pPr>
        <w:rPr>
          <w:sz w:val="26"/>
          <w:szCs w:val="26"/>
          <w:lang w:val="uk-UA"/>
        </w:rPr>
      </w:pPr>
    </w:p>
    <w:p w:rsidR="002C2392" w:rsidRPr="00EA417B" w:rsidRDefault="002C2392" w:rsidP="002C2392">
      <w:pPr>
        <w:ind w:firstLine="720"/>
        <w:jc w:val="both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EA417B">
        <w:rPr>
          <w:b/>
          <w:sz w:val="26"/>
          <w:szCs w:val="26"/>
          <w:lang w:val="uk-UA"/>
        </w:rPr>
        <w:t xml:space="preserve">3. </w:t>
      </w:r>
      <w:r w:rsidRPr="00EA417B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Розрахунок витрат </w:t>
      </w:r>
      <w:r w:rsidRPr="00C45737">
        <w:rPr>
          <w:b/>
          <w:sz w:val="26"/>
          <w:szCs w:val="26"/>
          <w:lang w:val="uk-UA"/>
        </w:rPr>
        <w:t>с</w:t>
      </w:r>
      <w:r w:rsidRPr="00EA417B">
        <w:rPr>
          <w:b/>
          <w:sz w:val="26"/>
          <w:szCs w:val="26"/>
          <w:lang w:val="uk-UA"/>
        </w:rPr>
        <w:t>уб`</w:t>
      </w:r>
      <w:r w:rsidRPr="00C45737">
        <w:rPr>
          <w:b/>
          <w:sz w:val="26"/>
          <w:szCs w:val="26"/>
          <w:lang w:val="uk-UA"/>
        </w:rPr>
        <w:t>єктів</w:t>
      </w:r>
      <w:r w:rsidRPr="00EA417B">
        <w:rPr>
          <w:b/>
          <w:sz w:val="26"/>
          <w:szCs w:val="26"/>
          <w:lang w:val="uk-UA"/>
        </w:rPr>
        <w:t xml:space="preserve"> господарювання </w:t>
      </w:r>
      <w:r w:rsidRPr="00C45737">
        <w:rPr>
          <w:b/>
          <w:sz w:val="26"/>
          <w:szCs w:val="26"/>
          <w:lang w:val="uk-UA"/>
        </w:rPr>
        <w:t>(ОСББ, співвласників багатоквартирних будинків "фізичних та юридичних осіб")</w:t>
      </w:r>
      <w:r w:rsidRPr="00EA417B">
        <w:rPr>
          <w:b/>
          <w:color w:val="000000"/>
          <w:sz w:val="26"/>
          <w:szCs w:val="26"/>
          <w:shd w:val="clear" w:color="auto" w:fill="FFFFFF"/>
          <w:lang w:val="uk-UA"/>
        </w:rPr>
        <w:t>на виконання вимог регулювання</w:t>
      </w:r>
    </w:p>
    <w:p w:rsidR="002C2392" w:rsidRPr="007A72F5" w:rsidRDefault="002C2392" w:rsidP="002C2392">
      <w:pPr>
        <w:ind w:firstLine="720"/>
        <w:jc w:val="right"/>
        <w:rPr>
          <w:sz w:val="26"/>
          <w:szCs w:val="26"/>
          <w:lang w:val="uk-UA"/>
        </w:rPr>
      </w:pP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  <w:t xml:space="preserve">        грн.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5226"/>
        <w:gridCol w:w="1415"/>
        <w:gridCol w:w="1131"/>
        <w:gridCol w:w="1188"/>
      </w:tblGrid>
      <w:tr w:rsidR="002C2392" w:rsidRPr="007A72F5" w:rsidTr="008F21F5">
        <w:trPr>
          <w:cantSplit/>
          <w:trHeight w:val="17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jc w:val="center"/>
              <w:textAlignment w:val="baseline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b/>
                <w:color w:val="000000"/>
                <w:sz w:val="26"/>
                <w:szCs w:val="26"/>
                <w:lang w:val="uk-UA" w:eastAsia="uk-UA"/>
              </w:rPr>
              <w:t>№</w:t>
            </w:r>
          </w:p>
          <w:p w:rsidR="002C2392" w:rsidRPr="007A72F5" w:rsidRDefault="002C2392" w:rsidP="008F21F5">
            <w:pPr>
              <w:jc w:val="center"/>
              <w:textAlignment w:val="baseline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b/>
                <w:color w:val="000000"/>
                <w:sz w:val="26"/>
                <w:szCs w:val="26"/>
                <w:lang w:val="uk-UA" w:eastAsia="uk-UA"/>
              </w:rPr>
              <w:t>з/п</w:t>
            </w:r>
          </w:p>
          <w:p w:rsidR="002C2392" w:rsidRPr="007A72F5" w:rsidRDefault="002C2392" w:rsidP="008F21F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A72F5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Найменування оцінки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392" w:rsidRPr="007A72F5" w:rsidRDefault="002C2392" w:rsidP="008F21F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A72F5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392" w:rsidRPr="007A72F5" w:rsidRDefault="002C2392" w:rsidP="008F21F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A72F5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Періодичні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витрати</w:t>
            </w:r>
            <w:r w:rsidRPr="007A72F5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(за наступний рік)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392" w:rsidRPr="007A72F5" w:rsidRDefault="002C2392" w:rsidP="008F21F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A72F5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Витрати за п’ять років</w:t>
            </w:r>
          </w:p>
        </w:tc>
      </w:tr>
      <w:tr w:rsidR="002C2392" w:rsidRPr="007A72F5" w:rsidTr="008F21F5">
        <w:trPr>
          <w:cantSplit/>
          <w:trHeight w:val="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jc w:val="center"/>
              <w:textAlignment w:val="baseline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5</w:t>
            </w:r>
          </w:p>
        </w:tc>
      </w:tr>
      <w:tr w:rsidR="002C2392" w:rsidRPr="007A72F5" w:rsidTr="008F21F5">
        <w:trPr>
          <w:trHeight w:val="273"/>
          <w:jc w:val="center"/>
        </w:trPr>
        <w:tc>
          <w:tcPr>
            <w:tcW w:w="9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EA417B" w:rsidRDefault="002C2392" w:rsidP="008F21F5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EA417B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Оцінка </w:t>
            </w:r>
            <w:proofErr w:type="spellStart"/>
            <w:r w:rsidRPr="00EA417B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“прямих”</w:t>
            </w:r>
            <w:proofErr w:type="spellEnd"/>
            <w:r w:rsidRPr="00EA417B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витрат </w:t>
            </w:r>
            <w:r w:rsidRPr="00EA417B">
              <w:rPr>
                <w:b/>
                <w:sz w:val="26"/>
                <w:szCs w:val="26"/>
                <w:lang w:val="en-US"/>
              </w:rPr>
              <w:t>c</w:t>
            </w:r>
            <w:proofErr w:type="spellStart"/>
            <w:r w:rsidRPr="00EA417B">
              <w:rPr>
                <w:b/>
                <w:sz w:val="26"/>
                <w:szCs w:val="26"/>
                <w:lang w:val="uk-UA"/>
              </w:rPr>
              <w:t>уб`</w:t>
            </w:r>
            <w:r w:rsidRPr="00C45737">
              <w:rPr>
                <w:b/>
                <w:sz w:val="26"/>
                <w:szCs w:val="26"/>
                <w:lang w:val="uk-UA"/>
              </w:rPr>
              <w:t>єктів</w:t>
            </w:r>
            <w:proofErr w:type="spellEnd"/>
            <w:r w:rsidRPr="00EA417B">
              <w:rPr>
                <w:b/>
                <w:sz w:val="26"/>
                <w:szCs w:val="26"/>
                <w:lang w:val="uk-UA"/>
              </w:rPr>
              <w:t xml:space="preserve"> господарювання </w:t>
            </w:r>
            <w:r w:rsidRPr="00C45737">
              <w:rPr>
                <w:b/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  <w:r w:rsidRPr="00EA417B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на виконання регулювання</w:t>
            </w:r>
          </w:p>
        </w:tc>
      </w:tr>
      <w:tr w:rsidR="002C2392" w:rsidRPr="007A72F5" w:rsidTr="008F21F5">
        <w:trPr>
          <w:trHeight w:val="1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pacing w:before="150" w:beforeAutospacing="1"/>
              <w:jc w:val="both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t>Придбання необхідного обладнання (пристроїв, машин, механізмів)</w:t>
            </w:r>
          </w:p>
          <w:p w:rsidR="002C2392" w:rsidRPr="007A72F5" w:rsidRDefault="002C2392" w:rsidP="008F21F5">
            <w:pPr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Формула:</w:t>
            </w:r>
          </w:p>
          <w:p w:rsidR="002C2392" w:rsidRPr="007A72F5" w:rsidRDefault="002C2392" w:rsidP="008F21F5">
            <w:pPr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</w:tr>
      <w:tr w:rsidR="002C2392" w:rsidRPr="007A72F5" w:rsidTr="008F21F5">
        <w:trPr>
          <w:trHeight w:val="10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pacing w:before="150" w:beforeAutospacing="1"/>
              <w:jc w:val="both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Формула:</w:t>
            </w:r>
          </w:p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прямі витрати на процедури повірки (проведення первинного обстеження) в </w:t>
            </w: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lastRenderedPageBreak/>
              <w:t xml:space="preserve">органі державної влади + витрати часу на процедуру обліку (на одиницю обладнання) Х вартість часу </w:t>
            </w:r>
            <w:r w:rsidRPr="00B213D5">
              <w:rPr>
                <w:i/>
                <w:sz w:val="26"/>
                <w:szCs w:val="26"/>
                <w:lang w:val="en-US"/>
              </w:rPr>
              <w:t>c</w:t>
            </w:r>
            <w:proofErr w:type="spellStart"/>
            <w:r w:rsidRPr="00B213D5">
              <w:rPr>
                <w:i/>
                <w:sz w:val="26"/>
                <w:szCs w:val="26"/>
                <w:lang w:val="uk-UA"/>
              </w:rPr>
              <w:t>уб`</w:t>
            </w:r>
            <w:r w:rsidRPr="00C45737">
              <w:rPr>
                <w:i/>
                <w:sz w:val="26"/>
                <w:szCs w:val="26"/>
                <w:lang w:val="uk-UA"/>
              </w:rPr>
              <w:t>єкт</w:t>
            </w:r>
            <w:r w:rsidRPr="00B213D5">
              <w:rPr>
                <w:i/>
                <w:sz w:val="26"/>
                <w:szCs w:val="26"/>
                <w:lang w:val="uk-UA"/>
              </w:rPr>
              <w:t>а</w:t>
            </w:r>
            <w:proofErr w:type="spellEnd"/>
            <w:r w:rsidRPr="00B213D5">
              <w:rPr>
                <w:i/>
                <w:sz w:val="26"/>
                <w:szCs w:val="26"/>
                <w:lang w:val="uk-UA"/>
              </w:rPr>
              <w:t xml:space="preserve"> господарювання </w:t>
            </w:r>
            <w:r w:rsidRPr="00C45737">
              <w:rPr>
                <w:i/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 (заробітна плата) Х оціночна кількість процедур обліку за рік) Х кількість необхідних одиниць обладнання одному </w:t>
            </w:r>
            <w:r w:rsidRPr="00B213D5">
              <w:rPr>
                <w:i/>
                <w:sz w:val="26"/>
                <w:szCs w:val="26"/>
                <w:lang w:val="en-US"/>
              </w:rPr>
              <w:t>c</w:t>
            </w:r>
            <w:proofErr w:type="spellStart"/>
            <w:r w:rsidRPr="00B213D5">
              <w:rPr>
                <w:i/>
                <w:sz w:val="26"/>
                <w:szCs w:val="26"/>
                <w:lang w:val="uk-UA"/>
              </w:rPr>
              <w:t>уб`</w:t>
            </w:r>
            <w:r w:rsidRPr="00C45737">
              <w:rPr>
                <w:i/>
                <w:sz w:val="26"/>
                <w:szCs w:val="26"/>
                <w:lang w:val="uk-UA"/>
              </w:rPr>
              <w:t>єкт</w:t>
            </w:r>
            <w:r w:rsidRPr="00B213D5">
              <w:rPr>
                <w:i/>
                <w:sz w:val="26"/>
                <w:szCs w:val="26"/>
                <w:lang w:val="uk-UA"/>
              </w:rPr>
              <w:t>у</w:t>
            </w:r>
            <w:proofErr w:type="spellEnd"/>
            <w:r w:rsidRPr="00B213D5">
              <w:rPr>
                <w:i/>
                <w:sz w:val="26"/>
                <w:szCs w:val="26"/>
                <w:lang w:val="uk-UA"/>
              </w:rPr>
              <w:t xml:space="preserve"> господарювання </w:t>
            </w:r>
            <w:r w:rsidRPr="00C45737">
              <w:rPr>
                <w:i/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</w:tr>
      <w:tr w:rsidR="002C2392" w:rsidRPr="007A72F5" w:rsidTr="008F21F5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pacing w:before="150" w:beforeAutospacing="1"/>
              <w:jc w:val="both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t>Процедури експлуатації обладнання (експлуатаційні витрати - витратні матеріали)</w:t>
            </w:r>
          </w:p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Формула:</w:t>
            </w:r>
          </w:p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</w:t>
            </w:r>
            <w:r w:rsidRPr="00B213D5">
              <w:rPr>
                <w:i/>
                <w:sz w:val="26"/>
                <w:szCs w:val="26"/>
                <w:lang w:val="en-US"/>
              </w:rPr>
              <w:t>c</w:t>
            </w:r>
            <w:proofErr w:type="spellStart"/>
            <w:r w:rsidRPr="00B213D5">
              <w:rPr>
                <w:i/>
                <w:sz w:val="26"/>
                <w:szCs w:val="26"/>
                <w:lang w:val="uk-UA"/>
              </w:rPr>
              <w:t>уб`</w:t>
            </w:r>
            <w:r w:rsidRPr="00511810">
              <w:rPr>
                <w:i/>
                <w:sz w:val="26"/>
                <w:szCs w:val="26"/>
                <w:lang w:val="uk-UA"/>
              </w:rPr>
              <w:t>єкт</w:t>
            </w:r>
            <w:r w:rsidRPr="00B213D5">
              <w:rPr>
                <w:i/>
                <w:sz w:val="26"/>
                <w:szCs w:val="26"/>
                <w:lang w:val="uk-UA"/>
              </w:rPr>
              <w:t>у</w:t>
            </w:r>
            <w:proofErr w:type="spellEnd"/>
            <w:r w:rsidRPr="00B213D5">
              <w:rPr>
                <w:i/>
                <w:sz w:val="26"/>
                <w:szCs w:val="26"/>
                <w:lang w:val="uk-UA"/>
              </w:rPr>
              <w:t xml:space="preserve"> господарювання </w:t>
            </w:r>
            <w:r w:rsidRPr="00C45737">
              <w:rPr>
                <w:i/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</w:tr>
      <w:tr w:rsidR="002C2392" w:rsidRPr="007A72F5" w:rsidTr="008F21F5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92" w:rsidRPr="00765B15" w:rsidRDefault="002C2392" w:rsidP="008F21F5">
            <w:pPr>
              <w:spacing w:before="150" w:beforeAutospacing="1"/>
              <w:jc w:val="center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65B15">
              <w:rPr>
                <w:color w:val="000000"/>
                <w:sz w:val="26"/>
                <w:szCs w:val="26"/>
                <w:lang w:val="uk-UA" w:eastAsia="uk-UA"/>
              </w:rPr>
              <w:t>4</w:t>
            </w:r>
          </w:p>
          <w:p w:rsidR="002C2392" w:rsidRDefault="002C2392" w:rsidP="008F21F5">
            <w:pPr>
              <w:spacing w:before="150" w:beforeAutospacing="1"/>
              <w:jc w:val="center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</w:p>
          <w:p w:rsidR="002C2392" w:rsidRDefault="002C2392" w:rsidP="008F21F5">
            <w:pPr>
              <w:spacing w:before="150" w:beforeAutospacing="1"/>
              <w:jc w:val="center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</w:p>
          <w:p w:rsidR="002C2392" w:rsidRDefault="002C2392" w:rsidP="008F21F5">
            <w:pPr>
              <w:spacing w:before="150" w:beforeAutospacing="1"/>
              <w:jc w:val="center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</w:p>
          <w:p w:rsidR="002C2392" w:rsidRPr="00765B15" w:rsidRDefault="002C2392" w:rsidP="008F21F5">
            <w:pPr>
              <w:spacing w:before="150" w:beforeAutospacing="1"/>
              <w:jc w:val="center"/>
              <w:textAlignment w:val="baseline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t>Процедури обслуговування обладнання (технічне обслуговування)</w:t>
            </w:r>
          </w:p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Формула:</w:t>
            </w:r>
          </w:p>
          <w:p w:rsidR="002C2392" w:rsidRDefault="002C2392" w:rsidP="008F21F5">
            <w:pPr>
              <w:shd w:val="clear" w:color="auto" w:fill="FFFFFF"/>
              <w:textAlignment w:val="baseline"/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оцінка вартості процедури обслуговування обладнання (на одиницю обладнання) Х  кількість процедур  технічного обслуговування на рік на одиницю </w:t>
            </w:r>
            <w:r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обладнання Х кількість необхідних одиниць обладнання одному суб'єкту господарювання  </w:t>
            </w:r>
            <w:r w:rsidRPr="00C45737">
              <w:rPr>
                <w:i/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</w:p>
          <w:p w:rsidR="002C2392" w:rsidRPr="00765B15" w:rsidRDefault="002C2392" w:rsidP="008F21F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Pr="00765B15" w:rsidRDefault="002C2392" w:rsidP="008F21F5">
            <w:pPr>
              <w:ind w:right="-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Pr="00765B15" w:rsidRDefault="002C2392" w:rsidP="008F21F5">
            <w:pPr>
              <w:ind w:right="-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Pr="00765B15" w:rsidRDefault="002C2392" w:rsidP="008F21F5">
            <w:pPr>
              <w:ind w:right="-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2C2392" w:rsidRPr="007A72F5" w:rsidTr="008F21F5">
        <w:trPr>
          <w:trHeight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pacing w:before="150" w:beforeAutospacing="1"/>
              <w:jc w:val="both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  <w:t>Інші процедури</w:t>
            </w:r>
          </w:p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i/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  <w:t xml:space="preserve">(вартість </w:t>
            </w:r>
            <w:r w:rsidRPr="006109DA">
              <w:rPr>
                <w:i/>
                <w:sz w:val="26"/>
                <w:szCs w:val="26"/>
                <w:shd w:val="clear" w:color="auto" w:fill="FFFFFF"/>
                <w:lang w:val="uk-UA" w:eastAsia="uk-UA"/>
              </w:rPr>
              <w:t xml:space="preserve">оформлення необхідних документів для отримання </w:t>
            </w:r>
            <w:r>
              <w:rPr>
                <w:i/>
                <w:sz w:val="26"/>
                <w:szCs w:val="26"/>
                <w:shd w:val="clear" w:color="auto" w:fill="FFFFFF"/>
                <w:lang w:val="uk-UA" w:eastAsia="uk-UA"/>
              </w:rPr>
              <w:t>дозволу</w:t>
            </w:r>
            <w:r w:rsidRPr="007A72F5">
              <w:rPr>
                <w:i/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B37CEA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highlight w:val="yellow"/>
                <w:shd w:val="clear" w:color="auto" w:fill="FFFFFF"/>
                <w:lang w:val="uk-UA"/>
              </w:rPr>
            </w:pPr>
            <w:r w:rsidRPr="0010260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</w:t>
            </w: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,0</w:t>
            </w:r>
          </w:p>
        </w:tc>
      </w:tr>
      <w:tr w:rsidR="002C2392" w:rsidRPr="007A72F5" w:rsidTr="008F21F5">
        <w:trPr>
          <w:trHeight w:val="8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pacing w:before="150" w:beforeAutospacing="1"/>
              <w:jc w:val="both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t>Разом, гривень</w:t>
            </w:r>
          </w:p>
          <w:p w:rsidR="002C2392" w:rsidRPr="007A72F5" w:rsidRDefault="002C2392" w:rsidP="008F21F5">
            <w:pPr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Формула:</w:t>
            </w:r>
          </w:p>
          <w:p w:rsidR="002C2392" w:rsidRPr="007A72F5" w:rsidRDefault="002C2392" w:rsidP="008F21F5">
            <w:pPr>
              <w:ind w:right="-106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(сума рядків 1 + 2 + 3 + 4 + 5)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B37CEA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highlight w:val="yellow"/>
                <w:shd w:val="clear" w:color="auto" w:fill="FFFFFF"/>
                <w:lang w:val="uk-UA"/>
              </w:rPr>
            </w:pPr>
            <w:r w:rsidRPr="0010260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</w:t>
            </w: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,0</w:t>
            </w:r>
          </w:p>
        </w:tc>
      </w:tr>
      <w:tr w:rsidR="002C2392" w:rsidRPr="007A72F5" w:rsidTr="008F21F5">
        <w:trPr>
          <w:trHeight w:val="8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pacing w:before="150" w:beforeAutospacing="1"/>
              <w:jc w:val="both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2392" w:rsidRPr="007A72F5" w:rsidRDefault="002C2392" w:rsidP="008F21F5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 w:rsidRPr="007A72F5">
              <w:rPr>
                <w:color w:val="000000"/>
                <w:sz w:val="26"/>
                <w:szCs w:val="26"/>
              </w:rPr>
              <w:t xml:space="preserve">Кількість </w:t>
            </w:r>
            <w:r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7A72F5">
              <w:rPr>
                <w:sz w:val="26"/>
                <w:szCs w:val="26"/>
              </w:rPr>
              <w:t>уб`</w:t>
            </w:r>
            <w:r>
              <w:rPr>
                <w:sz w:val="26"/>
                <w:szCs w:val="26"/>
              </w:rPr>
              <w:t>єкт</w:t>
            </w:r>
            <w:r w:rsidRPr="00B213D5">
              <w:rPr>
                <w:sz w:val="26"/>
                <w:szCs w:val="26"/>
              </w:rPr>
              <w:t>ів</w:t>
            </w:r>
            <w:proofErr w:type="spellEnd"/>
            <w:r w:rsidRPr="007A72F5">
              <w:rPr>
                <w:sz w:val="26"/>
                <w:szCs w:val="26"/>
              </w:rPr>
              <w:t xml:space="preserve"> господарювання </w:t>
            </w:r>
            <w:r w:rsidRPr="00511810">
              <w:rPr>
                <w:sz w:val="26"/>
                <w:szCs w:val="26"/>
              </w:rPr>
              <w:t>(ОСББ, співвласників багатоквартирних будинків "фізичні та юридичні особи")</w:t>
            </w:r>
            <w:r w:rsidRPr="007A72F5">
              <w:rPr>
                <w:color w:val="000000"/>
                <w:sz w:val="26"/>
                <w:szCs w:val="26"/>
              </w:rPr>
              <w:t>, що повинні виконати вимоги регулювання, одиниць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511810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3000,00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511810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1000,00</w:t>
            </w:r>
          </w:p>
        </w:tc>
      </w:tr>
      <w:tr w:rsidR="002C2392" w:rsidRPr="007A72F5" w:rsidTr="008F21F5">
        <w:trPr>
          <w:trHeight w:val="13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pacing w:before="150" w:beforeAutospacing="1"/>
              <w:jc w:val="both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t>Сумарно, гривень</w:t>
            </w:r>
          </w:p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Формула:</w:t>
            </w:r>
          </w:p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відповідний стовпчик </w:t>
            </w:r>
            <w:proofErr w:type="spellStart"/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“разом”</w:t>
            </w:r>
            <w:proofErr w:type="spellEnd"/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 Х  кількість </w:t>
            </w:r>
            <w:r w:rsidRPr="00B213D5">
              <w:rPr>
                <w:i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i/>
                <w:sz w:val="26"/>
                <w:szCs w:val="26"/>
                <w:lang w:val="uk-UA"/>
              </w:rPr>
              <w:t>уб`єктів</w:t>
            </w:r>
            <w:proofErr w:type="spellEnd"/>
            <w:r>
              <w:rPr>
                <w:i/>
                <w:sz w:val="26"/>
                <w:szCs w:val="26"/>
                <w:lang w:val="uk-UA"/>
              </w:rPr>
              <w:t xml:space="preserve"> господарювання </w:t>
            </w:r>
            <w:r w:rsidRPr="00C45737">
              <w:rPr>
                <w:i/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, що повинні виконати вимоги регулювання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</w:tr>
      <w:tr w:rsidR="002C2392" w:rsidRPr="007A72F5" w:rsidTr="008F21F5">
        <w:trPr>
          <w:trHeight w:val="415"/>
          <w:jc w:val="center"/>
        </w:trPr>
        <w:tc>
          <w:tcPr>
            <w:tcW w:w="9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114C57" w:rsidRDefault="002C2392" w:rsidP="008F21F5">
            <w:pPr>
              <w:ind w:right="-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14C57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Оцінка вартості адміністративних процедур </w:t>
            </w:r>
            <w:r w:rsidRPr="00114C57">
              <w:rPr>
                <w:b/>
                <w:sz w:val="26"/>
                <w:szCs w:val="26"/>
                <w:lang w:val="en-US"/>
              </w:rPr>
              <w:t>c</w:t>
            </w:r>
            <w:proofErr w:type="spellStart"/>
            <w:r w:rsidRPr="00114C57">
              <w:rPr>
                <w:b/>
                <w:sz w:val="26"/>
                <w:szCs w:val="26"/>
                <w:lang w:val="uk-UA"/>
              </w:rPr>
              <w:t>уб`єктів</w:t>
            </w:r>
            <w:proofErr w:type="spellEnd"/>
            <w:r w:rsidRPr="00114C57">
              <w:rPr>
                <w:b/>
                <w:sz w:val="26"/>
                <w:szCs w:val="26"/>
                <w:lang w:val="uk-UA"/>
              </w:rPr>
              <w:t xml:space="preserve"> господарювання </w:t>
            </w:r>
            <w:r w:rsidRPr="0080450B">
              <w:rPr>
                <w:b/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  <w:r w:rsidRPr="00114C57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щодо виконання регулювання та звітування</w:t>
            </w:r>
          </w:p>
        </w:tc>
      </w:tr>
      <w:tr w:rsidR="002C2392" w:rsidRPr="007A72F5" w:rsidTr="008F21F5">
        <w:trPr>
          <w:trHeight w:val="3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65B15" w:rsidRDefault="002C2392" w:rsidP="008F21F5">
            <w:pPr>
              <w:spacing w:before="150" w:beforeAutospacing="1"/>
              <w:jc w:val="center"/>
              <w:textAlignment w:val="baseline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765B15">
              <w:rPr>
                <w:b/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65B15" w:rsidRDefault="002C2392" w:rsidP="008F21F5">
            <w:pPr>
              <w:jc w:val="center"/>
              <w:textAlignment w:val="baseline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765B15">
              <w:rPr>
                <w:b/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65B15" w:rsidRDefault="002C2392" w:rsidP="008F21F5">
            <w:pPr>
              <w:ind w:right="-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65B15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65B15" w:rsidRDefault="002C2392" w:rsidP="008F21F5">
            <w:pPr>
              <w:ind w:right="-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65B15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65B15" w:rsidRDefault="002C2392" w:rsidP="008F21F5">
            <w:pPr>
              <w:ind w:right="-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65B15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5</w:t>
            </w:r>
          </w:p>
        </w:tc>
      </w:tr>
      <w:tr w:rsidR="002C2392" w:rsidRPr="007A72F5" w:rsidTr="008F21F5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pacing w:before="150" w:beforeAutospacing="1"/>
              <w:jc w:val="both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t>Процедури отримання первинної інформації про вимоги регулювання</w:t>
            </w:r>
          </w:p>
          <w:p w:rsidR="002C2392" w:rsidRPr="007A72F5" w:rsidRDefault="002C2392" w:rsidP="008F21F5">
            <w:pPr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Формула:</w:t>
            </w:r>
          </w:p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витрати часу на отримання інформа</w:t>
            </w:r>
            <w:r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ції про регулювання (1,0 год.)</w:t>
            </w: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 вартість часу </w:t>
            </w:r>
            <w:r w:rsidRPr="00B213D5">
              <w:rPr>
                <w:i/>
                <w:sz w:val="26"/>
                <w:szCs w:val="26"/>
                <w:lang w:val="en-US"/>
              </w:rPr>
              <w:t>c</w:t>
            </w:r>
            <w:proofErr w:type="spellStart"/>
            <w:r w:rsidRPr="00B213D5">
              <w:rPr>
                <w:i/>
                <w:sz w:val="26"/>
                <w:szCs w:val="26"/>
                <w:lang w:val="uk-UA"/>
              </w:rPr>
              <w:t>уб`</w:t>
            </w:r>
            <w:r w:rsidRPr="0080450B">
              <w:rPr>
                <w:i/>
                <w:sz w:val="26"/>
                <w:szCs w:val="26"/>
                <w:lang w:val="uk-UA"/>
              </w:rPr>
              <w:t>єкт</w:t>
            </w:r>
            <w:r w:rsidRPr="00B213D5">
              <w:rPr>
                <w:i/>
                <w:sz w:val="26"/>
                <w:szCs w:val="26"/>
                <w:lang w:val="uk-UA"/>
              </w:rPr>
              <w:t>а</w:t>
            </w:r>
            <w:proofErr w:type="spellEnd"/>
            <w:r w:rsidRPr="00B213D5">
              <w:rPr>
                <w:i/>
                <w:sz w:val="26"/>
                <w:szCs w:val="26"/>
                <w:lang w:val="uk-UA"/>
              </w:rPr>
              <w:t xml:space="preserve"> господарювання </w:t>
            </w:r>
            <w:r w:rsidRPr="00C45737">
              <w:rPr>
                <w:i/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  <w:r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(0</w:t>
            </w: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,0 грн./год.*)</w:t>
            </w:r>
          </w:p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( заробітна плата 0</w:t>
            </w: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,0 грн.</w:t>
            </w:r>
            <w:r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</w:t>
            </w: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</w:t>
            </w: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,0</w:t>
            </w:r>
          </w:p>
        </w:tc>
      </w:tr>
      <w:tr w:rsidR="002C2392" w:rsidRPr="007A72F5" w:rsidTr="008F21F5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pacing w:before="150" w:beforeAutospacing="1"/>
              <w:jc w:val="both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t>Процедури організації виконання вимог регулювання</w:t>
            </w:r>
          </w:p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lastRenderedPageBreak/>
              <w:t>Формула:</w:t>
            </w:r>
          </w:p>
          <w:p w:rsidR="002C2392" w:rsidRDefault="002C2392" w:rsidP="008F21F5">
            <w:pPr>
              <w:shd w:val="clear" w:color="auto" w:fill="FFFFFF"/>
              <w:ind w:right="-102"/>
              <w:textAlignment w:val="baseline"/>
              <w:rPr>
                <w:i/>
                <w:iCs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sz w:val="26"/>
                <w:szCs w:val="26"/>
                <w:lang w:val="uk-UA" w:eastAsia="uk-UA"/>
              </w:rPr>
              <w:t xml:space="preserve">Витрати часу на розроблення та </w:t>
            </w:r>
            <w:r>
              <w:rPr>
                <w:i/>
                <w:iCs/>
                <w:sz w:val="26"/>
                <w:szCs w:val="26"/>
                <w:lang w:val="uk-UA" w:eastAsia="uk-UA"/>
              </w:rPr>
              <w:t>впровадження</w:t>
            </w:r>
            <w:r w:rsidRPr="007A72F5">
              <w:rPr>
                <w:i/>
                <w:iCs/>
                <w:sz w:val="26"/>
                <w:szCs w:val="26"/>
                <w:lang w:val="uk-UA" w:eastAsia="uk-UA"/>
              </w:rPr>
              <w:t xml:space="preserve"> внутрішніх для </w:t>
            </w:r>
            <w:r w:rsidRPr="00B213D5">
              <w:rPr>
                <w:i/>
                <w:sz w:val="26"/>
                <w:szCs w:val="26"/>
                <w:lang w:val="en-US"/>
              </w:rPr>
              <w:t>c</w:t>
            </w:r>
            <w:proofErr w:type="spellStart"/>
            <w:r w:rsidRPr="00B213D5">
              <w:rPr>
                <w:i/>
                <w:sz w:val="26"/>
                <w:szCs w:val="26"/>
                <w:lang w:val="uk-UA"/>
              </w:rPr>
              <w:t>уб`</w:t>
            </w:r>
            <w:r w:rsidRPr="0080450B">
              <w:rPr>
                <w:i/>
                <w:sz w:val="26"/>
                <w:szCs w:val="26"/>
                <w:lang w:val="uk-UA"/>
              </w:rPr>
              <w:t>єкт</w:t>
            </w:r>
            <w:r w:rsidRPr="00B213D5">
              <w:rPr>
                <w:i/>
                <w:sz w:val="26"/>
                <w:szCs w:val="26"/>
                <w:lang w:val="uk-UA"/>
              </w:rPr>
              <w:t>а</w:t>
            </w:r>
            <w:proofErr w:type="spellEnd"/>
            <w:r w:rsidRPr="00B213D5">
              <w:rPr>
                <w:i/>
                <w:sz w:val="26"/>
                <w:szCs w:val="26"/>
                <w:lang w:val="uk-UA"/>
              </w:rPr>
              <w:t xml:space="preserve"> господарювання </w:t>
            </w:r>
            <w:r w:rsidRPr="00C45737">
              <w:rPr>
                <w:i/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  <w:r w:rsidRPr="007A72F5">
              <w:rPr>
                <w:i/>
                <w:iCs/>
                <w:sz w:val="26"/>
                <w:szCs w:val="26"/>
                <w:lang w:val="uk-UA" w:eastAsia="uk-UA"/>
              </w:rPr>
              <w:t>процедур</w:t>
            </w:r>
            <w:r>
              <w:rPr>
                <w:i/>
                <w:iCs/>
                <w:sz w:val="26"/>
                <w:szCs w:val="26"/>
                <w:lang w:val="uk-UA" w:eastAsia="uk-UA"/>
              </w:rPr>
              <w:t xml:space="preserve"> на </w:t>
            </w:r>
            <w:r w:rsidRPr="007A72F5">
              <w:rPr>
                <w:i/>
                <w:iCs/>
                <w:sz w:val="26"/>
                <w:szCs w:val="26"/>
                <w:lang w:val="uk-UA" w:eastAsia="uk-UA"/>
              </w:rPr>
              <w:t xml:space="preserve"> впровадження </w:t>
            </w:r>
            <w:r>
              <w:rPr>
                <w:i/>
                <w:iCs/>
                <w:sz w:val="26"/>
                <w:szCs w:val="26"/>
                <w:lang w:val="uk-UA" w:eastAsia="uk-UA"/>
              </w:rPr>
              <w:t xml:space="preserve">вимог регулювання Х вартість часу господарювання  </w:t>
            </w:r>
            <w:r w:rsidRPr="00C45737">
              <w:rPr>
                <w:i/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  <w:r>
              <w:rPr>
                <w:i/>
                <w:sz w:val="26"/>
                <w:szCs w:val="26"/>
                <w:lang w:val="uk-UA"/>
              </w:rPr>
              <w:t>(заробітна плата) Х оціночна кількість внутрішніх процедур</w:t>
            </w:r>
          </w:p>
          <w:p w:rsidR="002C2392" w:rsidRPr="007A72F5" w:rsidRDefault="002C2392" w:rsidP="008F21F5">
            <w:pPr>
              <w:shd w:val="clear" w:color="auto" w:fill="FFFFFF"/>
              <w:ind w:right="-102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0</w:t>
            </w: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</w:t>
            </w: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,0</w:t>
            </w:r>
          </w:p>
        </w:tc>
      </w:tr>
      <w:tr w:rsidR="002C2392" w:rsidRPr="007A72F5" w:rsidTr="008F21F5">
        <w:trPr>
          <w:trHeight w:val="57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pacing w:before="150" w:beforeAutospacing="1"/>
              <w:jc w:val="both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11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t>Процедури офіційного звітування</w:t>
            </w:r>
          </w:p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Формула:</w:t>
            </w:r>
          </w:p>
          <w:p w:rsidR="002C2392" w:rsidRDefault="002C2392" w:rsidP="008F21F5">
            <w:pPr>
              <w:shd w:val="clear" w:color="auto" w:fill="FFFFFF"/>
              <w:textAlignment w:val="baseline"/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</w:t>
            </w:r>
          </w:p>
          <w:p w:rsidR="002C2392" w:rsidRDefault="002C2392" w:rsidP="008F21F5">
            <w:pPr>
              <w:shd w:val="clear" w:color="auto" w:fill="FFFFFF"/>
              <w:textAlignment w:val="baseline"/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органу, що приймає звіти та місця </w:t>
            </w:r>
          </w:p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</w:t>
            </w:r>
            <w:r w:rsidRPr="00B213D5">
              <w:rPr>
                <w:i/>
                <w:sz w:val="26"/>
                <w:szCs w:val="26"/>
                <w:lang w:val="en-US"/>
              </w:rPr>
              <w:t>c</w:t>
            </w:r>
            <w:proofErr w:type="spellStart"/>
            <w:r w:rsidRPr="00B213D5">
              <w:rPr>
                <w:i/>
                <w:sz w:val="26"/>
                <w:szCs w:val="26"/>
                <w:lang w:val="uk-UA"/>
              </w:rPr>
              <w:t>уб`єкта</w:t>
            </w:r>
            <w:proofErr w:type="spellEnd"/>
            <w:r w:rsidRPr="00B213D5">
              <w:rPr>
                <w:i/>
                <w:sz w:val="26"/>
                <w:szCs w:val="26"/>
                <w:lang w:val="uk-UA"/>
              </w:rPr>
              <w:t xml:space="preserve"> господарювання </w:t>
            </w:r>
            <w:r w:rsidRPr="00C45737">
              <w:rPr>
                <w:i/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2C2392" w:rsidRPr="007A72F5" w:rsidTr="008F21F5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pacing w:before="150" w:beforeAutospacing="1"/>
              <w:jc w:val="both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t xml:space="preserve">Процедури щодо забезпечення процесу </w:t>
            </w:r>
            <w:r w:rsidRPr="007A72F5"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перевірок</w:t>
            </w:r>
          </w:p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Формула:</w:t>
            </w:r>
          </w:p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витрати часу на забезпечення процесу перевірок з боку контролюючих органів Х вартість </w:t>
            </w:r>
            <w:r w:rsidRPr="00B213D5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часу </w:t>
            </w:r>
            <w:r w:rsidRPr="00B213D5">
              <w:rPr>
                <w:i/>
                <w:sz w:val="26"/>
                <w:szCs w:val="26"/>
                <w:lang w:val="en-US"/>
              </w:rPr>
              <w:t>c</w:t>
            </w:r>
            <w:proofErr w:type="spellStart"/>
            <w:r w:rsidRPr="00B213D5">
              <w:rPr>
                <w:i/>
                <w:sz w:val="26"/>
                <w:szCs w:val="26"/>
                <w:lang w:val="uk-UA"/>
              </w:rPr>
              <w:t>уб`</w:t>
            </w:r>
            <w:r w:rsidRPr="00352FFD">
              <w:rPr>
                <w:i/>
                <w:sz w:val="26"/>
                <w:szCs w:val="26"/>
                <w:lang w:val="uk-UA"/>
              </w:rPr>
              <w:t>єкт</w:t>
            </w:r>
            <w:r w:rsidRPr="00B213D5">
              <w:rPr>
                <w:i/>
                <w:sz w:val="26"/>
                <w:szCs w:val="26"/>
                <w:lang w:val="uk-UA"/>
              </w:rPr>
              <w:t>а</w:t>
            </w:r>
            <w:proofErr w:type="spellEnd"/>
            <w:r w:rsidRPr="00B213D5">
              <w:rPr>
                <w:i/>
                <w:sz w:val="26"/>
                <w:szCs w:val="26"/>
                <w:lang w:val="uk-UA"/>
              </w:rPr>
              <w:t xml:space="preserve"> господарювання </w:t>
            </w:r>
            <w:r w:rsidRPr="00C45737">
              <w:rPr>
                <w:i/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  <w:r w:rsidRPr="007A72F5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(заробітна плата) Х оціночна кількість перевірок за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</w:tr>
      <w:tr w:rsidR="002C2392" w:rsidRPr="007A72F5" w:rsidTr="008F21F5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both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13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i/>
                <w:iCs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  <w:t>Інші процедури (уточнити)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0,0</w:t>
            </w:r>
          </w:p>
        </w:tc>
      </w:tr>
      <w:tr w:rsidR="002C2392" w:rsidRPr="007A72F5" w:rsidTr="008F21F5">
        <w:trPr>
          <w:trHeight w:val="8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pacing w:before="150" w:beforeAutospacing="1"/>
              <w:jc w:val="both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t>Разом, гривень</w:t>
            </w:r>
          </w:p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Формула:</w:t>
            </w:r>
          </w:p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(сума рядків 9 + 10 + 11 + 12 + 13)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</w:t>
            </w: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</w:t>
            </w: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,0</w:t>
            </w:r>
          </w:p>
        </w:tc>
      </w:tr>
      <w:tr w:rsidR="002C2392" w:rsidRPr="007A72F5" w:rsidTr="008F21F5">
        <w:trPr>
          <w:trHeight w:val="8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pacing w:before="150" w:beforeAutospacing="1"/>
              <w:jc w:val="both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t xml:space="preserve">Кількість </w:t>
            </w:r>
            <w:r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7A72F5">
              <w:rPr>
                <w:sz w:val="26"/>
                <w:szCs w:val="26"/>
                <w:lang w:val="uk-UA"/>
              </w:rPr>
              <w:t>уб`</w:t>
            </w:r>
            <w:r w:rsidRPr="00B213D5">
              <w:rPr>
                <w:sz w:val="26"/>
                <w:szCs w:val="26"/>
                <w:lang w:val="uk-UA"/>
              </w:rPr>
              <w:t>єктів</w:t>
            </w:r>
            <w:proofErr w:type="spellEnd"/>
            <w:r w:rsidRPr="007A72F5">
              <w:rPr>
                <w:sz w:val="26"/>
                <w:szCs w:val="26"/>
                <w:lang w:val="uk-UA"/>
              </w:rPr>
              <w:t xml:space="preserve"> господарювання </w:t>
            </w:r>
            <w:r w:rsidRPr="00C45737">
              <w:rPr>
                <w:i/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  <w:r w:rsidRPr="007A72F5">
              <w:rPr>
                <w:color w:val="000000"/>
                <w:sz w:val="26"/>
                <w:szCs w:val="26"/>
                <w:lang w:val="uk-UA" w:eastAsia="uk-UA"/>
              </w:rPr>
              <w:t>, що повинні виконати вимоги регулювання, одиниць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352FFD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3000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352FFD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1000</w:t>
            </w:r>
          </w:p>
        </w:tc>
      </w:tr>
      <w:tr w:rsidR="002C2392" w:rsidRPr="007A72F5" w:rsidTr="008F21F5">
        <w:trPr>
          <w:trHeight w:val="9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pacing w:before="150" w:beforeAutospacing="1"/>
              <w:jc w:val="both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t>Сумарно, гривень</w:t>
            </w:r>
          </w:p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Формула:</w:t>
            </w:r>
          </w:p>
          <w:p w:rsidR="002C2392" w:rsidRPr="007A72F5" w:rsidRDefault="002C2392" w:rsidP="008F21F5">
            <w:pPr>
              <w:shd w:val="clear" w:color="auto" w:fill="FFFFFF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відповідний стовпчик </w:t>
            </w:r>
            <w:proofErr w:type="spellStart"/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“разом”</w:t>
            </w:r>
            <w:proofErr w:type="spellEnd"/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 Х кількість </w:t>
            </w:r>
            <w:r w:rsidRPr="00B213D5">
              <w:rPr>
                <w:i/>
                <w:sz w:val="26"/>
                <w:szCs w:val="26"/>
                <w:lang w:val="en-US"/>
              </w:rPr>
              <w:t>c</w:t>
            </w:r>
            <w:proofErr w:type="spellStart"/>
            <w:r w:rsidRPr="00B213D5">
              <w:rPr>
                <w:i/>
                <w:sz w:val="26"/>
                <w:szCs w:val="26"/>
                <w:lang w:val="uk-UA"/>
              </w:rPr>
              <w:t>уб`</w:t>
            </w:r>
            <w:r w:rsidRPr="00352FFD">
              <w:rPr>
                <w:i/>
                <w:sz w:val="26"/>
                <w:szCs w:val="26"/>
                <w:lang w:val="uk-UA"/>
              </w:rPr>
              <w:t>єктів</w:t>
            </w:r>
            <w:proofErr w:type="spellEnd"/>
            <w:r w:rsidRPr="00B213D5">
              <w:rPr>
                <w:i/>
                <w:sz w:val="26"/>
                <w:szCs w:val="26"/>
                <w:lang w:val="uk-UA"/>
              </w:rPr>
              <w:t xml:space="preserve"> господарювання </w:t>
            </w:r>
            <w:r w:rsidRPr="00C45737">
              <w:rPr>
                <w:i/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  <w:r w:rsidRPr="00B213D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,</w:t>
            </w:r>
            <w:r w:rsidRPr="007A72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 що повинні виконати вимоги регулювання (рядок 14 Х рядок 15)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</w:t>
            </w: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2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0</w:t>
            </w: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,0</w:t>
            </w:r>
          </w:p>
        </w:tc>
      </w:tr>
    </w:tbl>
    <w:p w:rsidR="002C2392" w:rsidRPr="007A72F5" w:rsidRDefault="002C2392" w:rsidP="002C2392">
      <w:pPr>
        <w:ind w:right="57" w:firstLine="567"/>
        <w:jc w:val="both"/>
        <w:rPr>
          <w:sz w:val="26"/>
          <w:szCs w:val="26"/>
          <w:lang w:val="uk-UA"/>
        </w:rPr>
      </w:pPr>
    </w:p>
    <w:p w:rsidR="002C2392" w:rsidRPr="00352FFD" w:rsidRDefault="002C2392" w:rsidP="002C2392">
      <w:pPr>
        <w:ind w:right="57" w:firstLine="709"/>
        <w:jc w:val="both"/>
        <w:rPr>
          <w:sz w:val="26"/>
          <w:szCs w:val="26"/>
          <w:lang w:val="uk-UA"/>
        </w:rPr>
      </w:pPr>
      <w:r w:rsidRPr="004B672F">
        <w:rPr>
          <w:color w:val="000000"/>
          <w:sz w:val="26"/>
          <w:szCs w:val="26"/>
          <w:shd w:val="clear" w:color="auto" w:fill="FFFFFF"/>
          <w:lang w:val="uk-UA"/>
        </w:rPr>
        <w:t xml:space="preserve">Бюджетні витрати на адміністрування регулювання </w:t>
      </w:r>
      <w:r w:rsidRPr="004B672F">
        <w:rPr>
          <w:sz w:val="26"/>
          <w:szCs w:val="26"/>
          <w:lang w:val="en-US"/>
        </w:rPr>
        <w:t>c</w:t>
      </w:r>
      <w:proofErr w:type="spellStart"/>
      <w:r w:rsidRPr="004B672F">
        <w:rPr>
          <w:sz w:val="26"/>
          <w:szCs w:val="26"/>
          <w:lang w:val="uk-UA"/>
        </w:rPr>
        <w:t>уб`єктів</w:t>
      </w:r>
      <w:proofErr w:type="spellEnd"/>
      <w:r w:rsidRPr="004B672F">
        <w:rPr>
          <w:sz w:val="26"/>
          <w:szCs w:val="26"/>
          <w:lang w:val="uk-UA"/>
        </w:rPr>
        <w:t xml:space="preserve"> господарювання </w:t>
      </w:r>
      <w:r w:rsidRPr="00352FFD">
        <w:rPr>
          <w:sz w:val="26"/>
          <w:szCs w:val="26"/>
          <w:lang w:val="uk-UA"/>
        </w:rPr>
        <w:t>(ОСББ, співвласників багатоквартирних будинків "фізичні та юридичні особи")</w:t>
      </w:r>
    </w:p>
    <w:p w:rsidR="002C2392" w:rsidRPr="004B672F" w:rsidRDefault="002C2392" w:rsidP="002C2392">
      <w:pPr>
        <w:ind w:right="57" w:firstLine="709"/>
        <w:jc w:val="both"/>
        <w:rPr>
          <w:color w:val="000000"/>
          <w:sz w:val="26"/>
          <w:szCs w:val="26"/>
          <w:shd w:val="clear" w:color="auto" w:fill="FFFFFF"/>
          <w:lang w:val="uk-UA"/>
        </w:rPr>
      </w:pPr>
    </w:p>
    <w:p w:rsidR="002C2392" w:rsidRDefault="002C2392" w:rsidP="002C2392">
      <w:pPr>
        <w:pStyle w:val="rvps2"/>
        <w:shd w:val="clear" w:color="auto" w:fill="FFFFFF"/>
        <w:spacing w:before="0" w:beforeAutospacing="0" w:after="0" w:afterAutospacing="0"/>
        <w:ind w:right="57" w:firstLine="450"/>
        <w:jc w:val="both"/>
        <w:textAlignment w:val="baseline"/>
        <w:rPr>
          <w:color w:val="000000"/>
          <w:sz w:val="26"/>
          <w:szCs w:val="26"/>
        </w:rPr>
      </w:pPr>
      <w:r w:rsidRPr="007A72F5">
        <w:rPr>
          <w:color w:val="000000"/>
          <w:sz w:val="26"/>
          <w:szCs w:val="26"/>
        </w:rPr>
        <w:lastRenderedPageBreak/>
        <w:t xml:space="preserve">Державний орган, для якого здійснюється розрахунок вартості адміністрування регулювання: </w:t>
      </w:r>
      <w:bookmarkStart w:id="4" w:name="n211"/>
      <w:bookmarkEnd w:id="4"/>
      <w:r w:rsidRPr="00114C57">
        <w:rPr>
          <w:color w:val="000000"/>
          <w:sz w:val="26"/>
          <w:szCs w:val="26"/>
        </w:rPr>
        <w:t>Департамент</w:t>
      </w:r>
      <w:r>
        <w:rPr>
          <w:color w:val="000000"/>
          <w:sz w:val="26"/>
          <w:szCs w:val="26"/>
        </w:rPr>
        <w:t xml:space="preserve"> енергетики, енергозбереження та </w:t>
      </w:r>
      <w:r w:rsidRPr="006750EB">
        <w:rPr>
          <w:color w:val="000000"/>
          <w:sz w:val="26"/>
          <w:szCs w:val="26"/>
        </w:rPr>
        <w:t>запровадження інноваційних технологій Миколаївської міської ради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0"/>
        <w:gridCol w:w="1080"/>
        <w:gridCol w:w="1800"/>
        <w:gridCol w:w="1206"/>
        <w:gridCol w:w="1494"/>
        <w:gridCol w:w="1260"/>
      </w:tblGrid>
      <w:tr w:rsidR="002C2392" w:rsidRPr="007A72F5" w:rsidTr="008F21F5">
        <w:trPr>
          <w:cantSplit/>
          <w:trHeight w:val="261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7A72F5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Процедура регулювання суб’єктів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господарювання </w:t>
            </w:r>
            <w:r w:rsidRPr="006750EB">
              <w:rPr>
                <w:b/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, </w:t>
            </w:r>
            <w:r w:rsidRPr="007A72F5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розрахунок на одного типового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суб’єктагосподарювання </w:t>
            </w:r>
            <w:r w:rsidRPr="006750EB">
              <w:rPr>
                <w:b/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  <w:r w:rsidRPr="007A72F5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- за потреби окремо для суб’єктів малого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господарювання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392" w:rsidRPr="007A72F5" w:rsidRDefault="002C2392" w:rsidP="008F21F5">
            <w:pPr>
              <w:ind w:left="113"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7A72F5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Планові витрати часу на процедуру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392" w:rsidRDefault="002C2392" w:rsidP="008F21F5">
            <w:pPr>
              <w:ind w:left="113" w:right="-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Вартість часу співробітника органу держав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ної влади відповідної категорії</w:t>
            </w:r>
          </w:p>
          <w:p w:rsidR="002C2392" w:rsidRPr="007A72F5" w:rsidRDefault="002C2392" w:rsidP="008F21F5">
            <w:pPr>
              <w:ind w:left="113" w:right="-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заробітна платагрн./год.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392" w:rsidRPr="007A72F5" w:rsidRDefault="002C2392" w:rsidP="008F21F5">
            <w:pPr>
              <w:ind w:left="113"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7A72F5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392" w:rsidRPr="007A72F5" w:rsidRDefault="002C2392" w:rsidP="008F21F5">
            <w:pPr>
              <w:ind w:left="113"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7A72F5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392" w:rsidRPr="007A72F5" w:rsidRDefault="002C2392" w:rsidP="008F21F5">
            <w:pPr>
              <w:ind w:left="113"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7A72F5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Витрати на адміністрування регулювання* (за рік), гривень</w:t>
            </w:r>
          </w:p>
        </w:tc>
      </w:tr>
      <w:tr w:rsidR="002C2392" w:rsidRPr="007A72F5" w:rsidTr="008F21F5">
        <w:trPr>
          <w:cantSplit/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ind w:right="-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ind w:right="-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ind w:right="-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ind w:right="-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ind w:right="-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ind w:right="-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6</w:t>
            </w:r>
          </w:p>
        </w:tc>
      </w:tr>
      <w:tr w:rsidR="002C2392" w:rsidRPr="007A72F5" w:rsidTr="008F21F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1.Облік</w:t>
            </w:r>
            <w:r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7A72F5">
              <w:rPr>
                <w:sz w:val="26"/>
                <w:szCs w:val="26"/>
                <w:lang w:val="uk-UA"/>
              </w:rPr>
              <w:t>уб`</w:t>
            </w:r>
            <w:r>
              <w:rPr>
                <w:sz w:val="26"/>
                <w:szCs w:val="26"/>
              </w:rPr>
              <w:t>єкт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  <w:r w:rsidRPr="007A72F5">
              <w:rPr>
                <w:sz w:val="26"/>
                <w:szCs w:val="26"/>
                <w:lang w:val="uk-UA"/>
              </w:rPr>
              <w:t xml:space="preserve"> господарювання </w:t>
            </w:r>
            <w:r w:rsidRPr="006750EB">
              <w:rPr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, що перебуває у сфері регулювання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6750EB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6750EB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6750EB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</w:tr>
      <w:tr w:rsidR="002C2392" w:rsidRPr="007A72F5" w:rsidTr="008F21F5">
        <w:trPr>
          <w:trHeight w:val="12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t xml:space="preserve">2. Поточний контроль за </w:t>
            </w:r>
            <w:r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7A72F5">
              <w:rPr>
                <w:sz w:val="26"/>
                <w:szCs w:val="26"/>
                <w:lang w:val="uk-UA"/>
              </w:rPr>
              <w:t>уб`</w:t>
            </w:r>
            <w:r>
              <w:rPr>
                <w:sz w:val="26"/>
                <w:szCs w:val="26"/>
              </w:rPr>
              <w:t>єкт</w:t>
            </w:r>
            <w:r>
              <w:rPr>
                <w:sz w:val="26"/>
                <w:szCs w:val="26"/>
                <w:lang w:val="uk-UA"/>
              </w:rPr>
              <w:t>ами</w:t>
            </w:r>
            <w:proofErr w:type="spellEnd"/>
            <w:r w:rsidRPr="007A72F5">
              <w:rPr>
                <w:sz w:val="26"/>
                <w:szCs w:val="26"/>
                <w:lang w:val="uk-UA"/>
              </w:rPr>
              <w:t xml:space="preserve"> господарювання </w:t>
            </w:r>
            <w:r w:rsidRPr="006750EB">
              <w:rPr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  <w:r w:rsidRPr="007A72F5">
              <w:rPr>
                <w:color w:val="000000"/>
                <w:sz w:val="26"/>
                <w:szCs w:val="26"/>
                <w:lang w:val="uk-UA" w:eastAsia="uk-UA"/>
              </w:rPr>
              <w:t xml:space="preserve">, що перебуває у сфері регулювання, у тому числі: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</w:tr>
      <w:tr w:rsidR="002C2392" w:rsidRPr="007A72F5" w:rsidTr="008F21F5">
        <w:trPr>
          <w:trHeight w:val="3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камеральні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</w:tr>
      <w:tr w:rsidR="002C2392" w:rsidRPr="007A72F5" w:rsidTr="008F21F5">
        <w:trPr>
          <w:trHeight w:val="2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t xml:space="preserve">виїзні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</w:tr>
      <w:tr w:rsidR="002C2392" w:rsidRPr="007A72F5" w:rsidTr="008F21F5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3. Підготовка, затвердження та опрацювання одного окремого акта про порушення вимог регулювання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</w:tr>
      <w:tr w:rsidR="002C2392" w:rsidRPr="007A72F5" w:rsidTr="008F21F5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textAlignment w:val="baseline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4. Реалізація одного окремого рішення щодо порушення вимог регулювання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</w:tr>
      <w:tr w:rsidR="002C2392" w:rsidRPr="007A72F5" w:rsidTr="008F21F5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textAlignment w:val="baseline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5. Оскарження одного окремого рішення </w:t>
            </w:r>
            <w:r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7A72F5">
              <w:rPr>
                <w:sz w:val="26"/>
                <w:szCs w:val="26"/>
                <w:lang w:val="uk-UA"/>
              </w:rPr>
              <w:t>уб`</w:t>
            </w:r>
            <w:r>
              <w:rPr>
                <w:sz w:val="26"/>
                <w:szCs w:val="26"/>
              </w:rPr>
              <w:t>єкт</w:t>
            </w:r>
            <w:r>
              <w:rPr>
                <w:sz w:val="26"/>
                <w:szCs w:val="26"/>
                <w:lang w:val="uk-UA"/>
              </w:rPr>
              <w:t>ами</w:t>
            </w:r>
            <w:proofErr w:type="spellEnd"/>
            <w:r w:rsidRPr="007A72F5">
              <w:rPr>
                <w:sz w:val="26"/>
                <w:szCs w:val="26"/>
                <w:lang w:val="uk-UA"/>
              </w:rPr>
              <w:t xml:space="preserve"> господарювання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</w:tr>
      <w:tr w:rsidR="002C2392" w:rsidRPr="007A72F5" w:rsidTr="008F21F5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textAlignment w:val="baseline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6. Підготовка звітності за результатами регулювання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</w:tr>
      <w:tr w:rsidR="002C2392" w:rsidRPr="007A72F5" w:rsidTr="008F21F5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515B0C" w:rsidRDefault="002C2392" w:rsidP="008F21F5">
            <w:pPr>
              <w:textAlignment w:val="baseline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7. Інші адміністративні процедури (уточнити):</w:t>
            </w:r>
            <w:r>
              <w:rPr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отримання дозволу на модернізацію (утеплення) фасадів </w:t>
            </w:r>
            <w:r w:rsidRPr="00B213D5">
              <w:rPr>
                <w:i/>
                <w:sz w:val="26"/>
                <w:szCs w:val="26"/>
                <w:lang w:val="uk-UA"/>
              </w:rPr>
              <w:t xml:space="preserve">господарювання </w:t>
            </w:r>
            <w:r w:rsidRPr="00C45737">
              <w:rPr>
                <w:i/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ind w:right="-50"/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</w:tr>
      <w:tr w:rsidR="002C2392" w:rsidRPr="007A72F5" w:rsidTr="008F21F5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textAlignment w:val="baseline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Разом за рік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</w:tr>
      <w:tr w:rsidR="002C2392" w:rsidRPr="007A72F5" w:rsidTr="008F21F5">
        <w:trPr>
          <w:trHeight w:val="2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textAlignment w:val="baseline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Сумарно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,</w:t>
            </w: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за п’ять років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</w:tr>
    </w:tbl>
    <w:p w:rsidR="002C2392" w:rsidRDefault="002C2392" w:rsidP="002C2392">
      <w:pPr>
        <w:ind w:firstLine="720"/>
        <w:jc w:val="both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4B672F">
        <w:rPr>
          <w:b/>
          <w:sz w:val="26"/>
          <w:szCs w:val="26"/>
          <w:lang w:val="uk-UA"/>
        </w:rPr>
        <w:t xml:space="preserve">4. </w:t>
      </w:r>
      <w:r w:rsidRPr="004B672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Розрахунок сумарних витрат </w:t>
      </w:r>
      <w:r w:rsidRPr="004B672F">
        <w:rPr>
          <w:b/>
          <w:sz w:val="26"/>
          <w:szCs w:val="26"/>
          <w:lang w:val="en-US"/>
        </w:rPr>
        <w:t>c</w:t>
      </w:r>
      <w:proofErr w:type="spellStart"/>
      <w:r w:rsidRPr="004B672F">
        <w:rPr>
          <w:b/>
          <w:sz w:val="26"/>
          <w:szCs w:val="26"/>
          <w:lang w:val="uk-UA"/>
        </w:rPr>
        <w:t>уб`</w:t>
      </w:r>
      <w:r w:rsidRPr="004B672F">
        <w:rPr>
          <w:b/>
          <w:sz w:val="26"/>
          <w:szCs w:val="26"/>
        </w:rPr>
        <w:t>єкт</w:t>
      </w:r>
      <w:r w:rsidRPr="003061EF">
        <w:rPr>
          <w:b/>
          <w:sz w:val="26"/>
          <w:szCs w:val="26"/>
        </w:rPr>
        <w:t>ів</w:t>
      </w:r>
      <w:proofErr w:type="spellEnd"/>
      <w:r w:rsidRPr="004B672F">
        <w:rPr>
          <w:b/>
          <w:sz w:val="26"/>
          <w:szCs w:val="26"/>
          <w:lang w:val="uk-UA"/>
        </w:rPr>
        <w:t xml:space="preserve"> господарювання </w:t>
      </w:r>
      <w:r w:rsidRPr="008A7649">
        <w:rPr>
          <w:b/>
          <w:sz w:val="26"/>
          <w:szCs w:val="26"/>
          <w:lang w:val="uk-UA"/>
        </w:rPr>
        <w:t>(ОСББ, співвласників багатоквартирних будинків "фізичні та юридичні особи")</w:t>
      </w:r>
      <w:r w:rsidRPr="004B672F">
        <w:rPr>
          <w:b/>
          <w:color w:val="000000"/>
          <w:sz w:val="26"/>
          <w:szCs w:val="26"/>
          <w:shd w:val="clear" w:color="auto" w:fill="FFFFFF"/>
          <w:lang w:val="uk-UA"/>
        </w:rPr>
        <w:t>, що виникають на виконання вимог регулювання</w:t>
      </w:r>
    </w:p>
    <w:p w:rsidR="002C2392" w:rsidRDefault="002C2392" w:rsidP="002C2392">
      <w:pPr>
        <w:ind w:right="-2" w:firstLine="567"/>
        <w:jc w:val="both"/>
        <w:rPr>
          <w:sz w:val="26"/>
          <w:szCs w:val="26"/>
          <w:lang w:val="uk-UA"/>
        </w:rPr>
      </w:pP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  <w:r w:rsidRPr="007A72F5">
        <w:rPr>
          <w:sz w:val="26"/>
          <w:szCs w:val="26"/>
          <w:lang w:val="uk-UA"/>
        </w:rPr>
        <w:tab/>
      </w:r>
    </w:p>
    <w:p w:rsidR="002C2392" w:rsidRPr="007A72F5" w:rsidRDefault="002C2392" w:rsidP="002C2392">
      <w:pPr>
        <w:ind w:right="-2" w:firstLine="8460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(</w:t>
      </w:r>
      <w:r w:rsidRPr="007A72F5">
        <w:rPr>
          <w:sz w:val="26"/>
          <w:szCs w:val="26"/>
          <w:lang w:val="uk-UA"/>
        </w:rPr>
        <w:t>грн.</w:t>
      </w:r>
      <w:r>
        <w:rPr>
          <w:sz w:val="26"/>
          <w:szCs w:val="26"/>
          <w:lang w:val="uk-UA"/>
        </w:rPr>
        <w:t>)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529"/>
        <w:gridCol w:w="1702"/>
        <w:gridCol w:w="1701"/>
      </w:tblGrid>
      <w:tr w:rsidR="002C2392" w:rsidRPr="007A72F5" w:rsidTr="008F21F5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A72F5">
              <w:rPr>
                <w:b/>
                <w:sz w:val="26"/>
                <w:szCs w:val="26"/>
                <w:lang w:val="uk-UA"/>
              </w:rPr>
              <w:t>№</w:t>
            </w:r>
          </w:p>
          <w:p w:rsidR="002C2392" w:rsidRPr="007A72F5" w:rsidRDefault="002C2392" w:rsidP="008F21F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A72F5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A72F5">
              <w:rPr>
                <w:b/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ind w:left="-110" w:right="-113"/>
              <w:jc w:val="center"/>
              <w:rPr>
                <w:b/>
                <w:sz w:val="26"/>
                <w:szCs w:val="26"/>
                <w:lang w:val="uk-UA"/>
              </w:rPr>
            </w:pPr>
            <w:r w:rsidRPr="007A72F5">
              <w:rPr>
                <w:b/>
                <w:sz w:val="26"/>
                <w:szCs w:val="26"/>
                <w:lang w:val="uk-UA"/>
              </w:rPr>
              <w:t>Перший рік регулювання (стартовий)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A72F5">
              <w:rPr>
                <w:b/>
                <w:sz w:val="26"/>
                <w:szCs w:val="26"/>
                <w:lang w:val="uk-UA"/>
              </w:rPr>
              <w:t>За п’ять років</w:t>
            </w:r>
          </w:p>
        </w:tc>
      </w:tr>
      <w:tr w:rsidR="002C2392" w:rsidRPr="007A72F5" w:rsidTr="008F21F5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ind w:left="-110" w:right="-113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92" w:rsidRPr="007A72F5" w:rsidRDefault="002C2392" w:rsidP="008F21F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</w:tr>
      <w:tr w:rsidR="002C2392" w:rsidRPr="007A72F5" w:rsidTr="008F21F5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both"/>
              <w:rPr>
                <w:sz w:val="26"/>
                <w:szCs w:val="26"/>
                <w:lang w:val="uk-UA"/>
              </w:rPr>
            </w:pPr>
            <w:r w:rsidRPr="007A72F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both"/>
              <w:rPr>
                <w:sz w:val="26"/>
                <w:szCs w:val="26"/>
                <w:lang w:val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Оцінка </w:t>
            </w:r>
            <w:proofErr w:type="spellStart"/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“прямих”</w:t>
            </w:r>
            <w:proofErr w:type="spellEnd"/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витрат </w:t>
            </w:r>
            <w:r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7A72F5">
              <w:rPr>
                <w:sz w:val="26"/>
                <w:szCs w:val="26"/>
                <w:lang w:val="uk-UA"/>
              </w:rPr>
              <w:t>уб`</w:t>
            </w:r>
            <w:r w:rsidRPr="008A7649">
              <w:rPr>
                <w:sz w:val="26"/>
                <w:szCs w:val="26"/>
                <w:lang w:val="uk-UA"/>
              </w:rPr>
              <w:t>єктів</w:t>
            </w:r>
            <w:proofErr w:type="spellEnd"/>
            <w:r w:rsidRPr="007A72F5">
              <w:rPr>
                <w:sz w:val="26"/>
                <w:szCs w:val="26"/>
                <w:lang w:val="uk-UA"/>
              </w:rPr>
              <w:t xml:space="preserve"> господарювання </w:t>
            </w:r>
            <w:r w:rsidRPr="008A7649">
              <w:rPr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на виконання регулювання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</w:tr>
      <w:tr w:rsidR="002C2392" w:rsidRPr="007A72F5" w:rsidTr="008F21F5">
        <w:trPr>
          <w:trHeight w:val="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both"/>
              <w:rPr>
                <w:sz w:val="26"/>
                <w:szCs w:val="26"/>
                <w:lang w:val="uk-UA"/>
              </w:rPr>
            </w:pPr>
            <w:r w:rsidRPr="007A72F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both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lang w:val="uk-UA" w:eastAsia="uk-UA"/>
              </w:rPr>
              <w:t xml:space="preserve">Оцінка вартості адміністративних процедур для </w:t>
            </w:r>
            <w:r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7A72F5">
              <w:rPr>
                <w:sz w:val="26"/>
                <w:szCs w:val="26"/>
                <w:lang w:val="uk-UA"/>
              </w:rPr>
              <w:t>уб`</w:t>
            </w:r>
            <w:r w:rsidRPr="00B213D5">
              <w:rPr>
                <w:sz w:val="26"/>
                <w:szCs w:val="26"/>
                <w:lang w:val="uk-UA"/>
              </w:rPr>
              <w:t>єктів</w:t>
            </w:r>
            <w:proofErr w:type="spellEnd"/>
            <w:r w:rsidRPr="007A72F5">
              <w:rPr>
                <w:sz w:val="26"/>
                <w:szCs w:val="26"/>
                <w:lang w:val="uk-UA"/>
              </w:rPr>
              <w:t xml:space="preserve"> господарювання </w:t>
            </w:r>
            <w:r w:rsidRPr="008A7649">
              <w:rPr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  <w:r w:rsidRPr="007A72F5">
              <w:rPr>
                <w:color w:val="000000"/>
                <w:sz w:val="26"/>
                <w:szCs w:val="26"/>
                <w:lang w:val="uk-UA" w:eastAsia="uk-UA"/>
              </w:rPr>
              <w:t>щодо виконання регулювання та звітування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</w:tr>
      <w:tr w:rsidR="002C2392" w:rsidRPr="007A72F5" w:rsidTr="008F21F5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both"/>
              <w:rPr>
                <w:sz w:val="26"/>
                <w:szCs w:val="26"/>
                <w:lang w:val="uk-UA"/>
              </w:rPr>
            </w:pPr>
            <w:r w:rsidRPr="007A72F5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both"/>
              <w:textAlignment w:val="baseline"/>
              <w:rPr>
                <w:color w:val="000000"/>
                <w:sz w:val="26"/>
                <w:szCs w:val="26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  <w:t xml:space="preserve">Сумарні витрати </w:t>
            </w:r>
            <w:r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7A72F5">
              <w:rPr>
                <w:sz w:val="26"/>
                <w:szCs w:val="26"/>
                <w:lang w:val="uk-UA"/>
              </w:rPr>
              <w:t>уб`</w:t>
            </w:r>
            <w:r w:rsidRPr="008A7649">
              <w:rPr>
                <w:sz w:val="26"/>
                <w:szCs w:val="26"/>
                <w:lang w:val="uk-UA"/>
              </w:rPr>
              <w:t>єктів</w:t>
            </w:r>
            <w:proofErr w:type="spellEnd"/>
            <w:r w:rsidRPr="007A72F5">
              <w:rPr>
                <w:sz w:val="26"/>
                <w:szCs w:val="26"/>
                <w:lang w:val="uk-UA"/>
              </w:rPr>
              <w:t xml:space="preserve"> господарювання </w:t>
            </w:r>
            <w:r w:rsidRPr="008A7649">
              <w:rPr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  <w:t>на виконання запланованого регулювання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102604" w:rsidRDefault="002C2392" w:rsidP="008F21F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</w:tr>
      <w:tr w:rsidR="002C2392" w:rsidRPr="007A72F5" w:rsidTr="008F21F5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both"/>
              <w:rPr>
                <w:sz w:val="26"/>
                <w:szCs w:val="26"/>
                <w:lang w:val="uk-UA"/>
              </w:rPr>
            </w:pPr>
            <w:r w:rsidRPr="007A72F5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  <w:t xml:space="preserve">Бюджетні витрати на адміністрування регулювання </w:t>
            </w:r>
            <w:r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7A72F5">
              <w:rPr>
                <w:sz w:val="26"/>
                <w:szCs w:val="26"/>
                <w:lang w:val="uk-UA"/>
              </w:rPr>
              <w:t>уб`</w:t>
            </w:r>
            <w:r w:rsidRPr="00B213D5">
              <w:rPr>
                <w:sz w:val="26"/>
                <w:szCs w:val="26"/>
                <w:lang w:val="uk-UA"/>
              </w:rPr>
              <w:t>єктів</w:t>
            </w:r>
            <w:proofErr w:type="spellEnd"/>
            <w:r w:rsidRPr="007A72F5">
              <w:rPr>
                <w:sz w:val="26"/>
                <w:szCs w:val="26"/>
                <w:lang w:val="uk-UA"/>
              </w:rPr>
              <w:t xml:space="preserve"> господарювання </w:t>
            </w:r>
            <w:r w:rsidRPr="008A7649">
              <w:rPr>
                <w:sz w:val="26"/>
                <w:szCs w:val="26"/>
                <w:lang w:val="uk-UA"/>
              </w:rPr>
              <w:t>(ОСББ, співвласників багатоквартирних будинків "фізичні та юридичні особи")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</w:tr>
      <w:tr w:rsidR="002C2392" w:rsidRPr="007A72F5" w:rsidTr="008F21F5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both"/>
              <w:rPr>
                <w:sz w:val="26"/>
                <w:szCs w:val="26"/>
                <w:lang w:val="uk-UA"/>
              </w:rPr>
            </w:pPr>
            <w:r w:rsidRPr="007A72F5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7A72F5" w:rsidRDefault="002C2392" w:rsidP="008F21F5">
            <w:pPr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</w:pPr>
            <w:r w:rsidRPr="007A72F5">
              <w:rPr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  <w:t>Сумарні витрати на виконання запланованого регулювання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102604" w:rsidRDefault="002C2392" w:rsidP="008F21F5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2" w:rsidRPr="00102604" w:rsidRDefault="002C2392" w:rsidP="008F21F5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</w:tbl>
    <w:p w:rsidR="002C2392" w:rsidRPr="007A72F5" w:rsidRDefault="002C2392" w:rsidP="002C2392">
      <w:pPr>
        <w:ind w:firstLine="709"/>
        <w:jc w:val="both"/>
        <w:rPr>
          <w:sz w:val="26"/>
          <w:szCs w:val="26"/>
          <w:lang w:val="uk-UA"/>
        </w:rPr>
      </w:pPr>
    </w:p>
    <w:p w:rsidR="002C2392" w:rsidRPr="000D6CF4" w:rsidRDefault="002C2392" w:rsidP="002C2392">
      <w:pPr>
        <w:ind w:firstLine="709"/>
        <w:jc w:val="both"/>
        <w:rPr>
          <w:b/>
          <w:sz w:val="26"/>
          <w:szCs w:val="26"/>
          <w:lang w:val="uk-UA"/>
        </w:rPr>
      </w:pPr>
      <w:r w:rsidRPr="000D6CF4">
        <w:rPr>
          <w:b/>
          <w:sz w:val="26"/>
          <w:szCs w:val="26"/>
          <w:lang w:val="uk-UA"/>
        </w:rPr>
        <w:t xml:space="preserve">5. Розроблення </w:t>
      </w:r>
      <w:proofErr w:type="spellStart"/>
      <w:r w:rsidRPr="000D6CF4">
        <w:rPr>
          <w:b/>
          <w:sz w:val="26"/>
          <w:szCs w:val="26"/>
          <w:lang w:val="uk-UA"/>
        </w:rPr>
        <w:t>коригуючих</w:t>
      </w:r>
      <w:proofErr w:type="spellEnd"/>
      <w:r w:rsidRPr="000D6CF4">
        <w:rPr>
          <w:b/>
          <w:sz w:val="26"/>
          <w:szCs w:val="26"/>
          <w:lang w:val="uk-UA"/>
        </w:rPr>
        <w:t xml:space="preserve"> (пом’якшувальних) заходів для </w:t>
      </w:r>
      <w:r w:rsidRPr="000D6CF4">
        <w:rPr>
          <w:b/>
          <w:sz w:val="26"/>
          <w:szCs w:val="26"/>
          <w:lang w:val="en-US"/>
        </w:rPr>
        <w:t>c</w:t>
      </w:r>
      <w:proofErr w:type="spellStart"/>
      <w:r w:rsidRPr="000D6CF4">
        <w:rPr>
          <w:b/>
          <w:sz w:val="26"/>
          <w:szCs w:val="26"/>
          <w:lang w:val="uk-UA"/>
        </w:rPr>
        <w:t>уб`</w:t>
      </w:r>
      <w:r w:rsidRPr="00252F32">
        <w:rPr>
          <w:b/>
          <w:sz w:val="26"/>
          <w:szCs w:val="26"/>
          <w:lang w:val="uk-UA"/>
        </w:rPr>
        <w:t>єктів</w:t>
      </w:r>
      <w:proofErr w:type="spellEnd"/>
      <w:r w:rsidRPr="000D6CF4">
        <w:rPr>
          <w:b/>
          <w:sz w:val="26"/>
          <w:szCs w:val="26"/>
          <w:lang w:val="uk-UA"/>
        </w:rPr>
        <w:t xml:space="preserve"> господарювання </w:t>
      </w:r>
      <w:r w:rsidRPr="00252F32">
        <w:rPr>
          <w:b/>
          <w:sz w:val="26"/>
          <w:szCs w:val="26"/>
          <w:lang w:val="uk-UA"/>
        </w:rPr>
        <w:t>(ОСББ, співвласників багатоквартирних будинків "фізичні та юридичні особи")</w:t>
      </w:r>
      <w:r w:rsidRPr="000D6CF4">
        <w:rPr>
          <w:b/>
          <w:sz w:val="26"/>
          <w:szCs w:val="26"/>
          <w:lang w:val="uk-UA"/>
        </w:rPr>
        <w:t xml:space="preserve"> щодо запропонованого регулювання  </w:t>
      </w:r>
    </w:p>
    <w:p w:rsidR="002C2392" w:rsidRPr="00102604" w:rsidRDefault="002C2392" w:rsidP="002C2392">
      <w:pPr>
        <w:ind w:firstLine="709"/>
        <w:jc w:val="both"/>
        <w:rPr>
          <w:sz w:val="26"/>
          <w:szCs w:val="26"/>
          <w:lang w:val="uk-UA"/>
        </w:rPr>
      </w:pPr>
    </w:p>
    <w:p w:rsidR="002C2392" w:rsidRPr="00102604" w:rsidRDefault="002C2392" w:rsidP="002C2392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</w:t>
      </w:r>
      <w:r w:rsidRPr="00102604">
        <w:rPr>
          <w:sz w:val="26"/>
          <w:szCs w:val="26"/>
          <w:lang w:val="uk-UA"/>
        </w:rPr>
        <w:t xml:space="preserve"> результаті попередніх консультацій з </w:t>
      </w:r>
      <w:r w:rsidRPr="00102604">
        <w:rPr>
          <w:sz w:val="26"/>
          <w:szCs w:val="26"/>
          <w:lang w:val="en-US"/>
        </w:rPr>
        <w:t>c</w:t>
      </w:r>
      <w:proofErr w:type="spellStart"/>
      <w:r w:rsidRPr="00102604">
        <w:rPr>
          <w:sz w:val="26"/>
          <w:szCs w:val="26"/>
          <w:lang w:val="uk-UA"/>
        </w:rPr>
        <w:t>уб`</w:t>
      </w:r>
      <w:r w:rsidRPr="003061EF">
        <w:rPr>
          <w:sz w:val="26"/>
          <w:szCs w:val="26"/>
          <w:lang w:val="uk-UA"/>
        </w:rPr>
        <w:t>єкт</w:t>
      </w:r>
      <w:r w:rsidRPr="00102604">
        <w:rPr>
          <w:sz w:val="26"/>
          <w:szCs w:val="26"/>
          <w:lang w:val="uk-UA"/>
        </w:rPr>
        <w:t>ами</w:t>
      </w:r>
      <w:proofErr w:type="spellEnd"/>
      <w:r w:rsidRPr="00102604">
        <w:rPr>
          <w:sz w:val="26"/>
          <w:szCs w:val="26"/>
          <w:lang w:val="uk-UA"/>
        </w:rPr>
        <w:t xml:space="preserve"> господарювання </w:t>
      </w:r>
      <w:r w:rsidRPr="00252F32">
        <w:rPr>
          <w:sz w:val="26"/>
          <w:szCs w:val="26"/>
          <w:lang w:val="uk-UA"/>
        </w:rPr>
        <w:t>(ОСББ, співвласників багатоквартирних будинків "фізичні та юридичні особи")</w:t>
      </w:r>
      <w:r w:rsidRPr="00102604">
        <w:rPr>
          <w:sz w:val="26"/>
          <w:szCs w:val="26"/>
          <w:lang w:val="uk-UA"/>
        </w:rPr>
        <w:t xml:space="preserve"> бу</w:t>
      </w:r>
      <w:r>
        <w:rPr>
          <w:sz w:val="26"/>
          <w:szCs w:val="26"/>
          <w:lang w:val="uk-UA"/>
        </w:rPr>
        <w:t>ло</w:t>
      </w:r>
      <w:r w:rsidRPr="00102604">
        <w:rPr>
          <w:sz w:val="26"/>
          <w:szCs w:val="26"/>
          <w:lang w:val="uk-UA"/>
        </w:rPr>
        <w:t xml:space="preserve"> розроблен</w:t>
      </w:r>
      <w:r>
        <w:rPr>
          <w:sz w:val="26"/>
          <w:szCs w:val="26"/>
          <w:lang w:val="uk-UA"/>
        </w:rPr>
        <w:t>о</w:t>
      </w:r>
      <w:r w:rsidRPr="00102604">
        <w:rPr>
          <w:sz w:val="26"/>
          <w:szCs w:val="26"/>
          <w:lang w:val="uk-UA"/>
        </w:rPr>
        <w:t xml:space="preserve"> проект регуляторного акту, </w:t>
      </w:r>
      <w:proofErr w:type="spellStart"/>
      <w:r w:rsidRPr="00102604">
        <w:rPr>
          <w:sz w:val="26"/>
          <w:szCs w:val="26"/>
          <w:lang w:val="uk-UA"/>
        </w:rPr>
        <w:t>яки</w:t>
      </w:r>
      <w:r>
        <w:rPr>
          <w:sz w:val="26"/>
          <w:szCs w:val="26"/>
          <w:lang w:val="uk-UA"/>
        </w:rPr>
        <w:t>мвраховано</w:t>
      </w:r>
      <w:proofErr w:type="spellEnd"/>
      <w:r w:rsidRPr="00102604">
        <w:rPr>
          <w:sz w:val="26"/>
          <w:szCs w:val="26"/>
          <w:lang w:val="uk-UA"/>
        </w:rPr>
        <w:t xml:space="preserve"> пропозиції </w:t>
      </w:r>
      <w:r w:rsidRPr="00102604">
        <w:rPr>
          <w:sz w:val="26"/>
          <w:szCs w:val="26"/>
          <w:lang w:val="en-US"/>
        </w:rPr>
        <w:t>c</w:t>
      </w:r>
      <w:proofErr w:type="spellStart"/>
      <w:r w:rsidRPr="00102604">
        <w:rPr>
          <w:sz w:val="26"/>
          <w:szCs w:val="26"/>
          <w:lang w:val="uk-UA"/>
        </w:rPr>
        <w:t>уб`</w:t>
      </w:r>
      <w:r w:rsidRPr="003061EF">
        <w:rPr>
          <w:sz w:val="26"/>
          <w:szCs w:val="26"/>
          <w:lang w:val="uk-UA"/>
        </w:rPr>
        <w:t>єктів</w:t>
      </w:r>
      <w:proofErr w:type="spellEnd"/>
      <w:r w:rsidRPr="00102604">
        <w:rPr>
          <w:sz w:val="26"/>
          <w:szCs w:val="26"/>
          <w:lang w:val="uk-UA"/>
        </w:rPr>
        <w:t xml:space="preserve"> </w:t>
      </w:r>
      <w:r w:rsidRPr="00102604">
        <w:rPr>
          <w:sz w:val="26"/>
          <w:szCs w:val="26"/>
          <w:lang w:val="uk-UA"/>
        </w:rPr>
        <w:lastRenderedPageBreak/>
        <w:t xml:space="preserve">господарювання </w:t>
      </w:r>
      <w:r w:rsidRPr="00A33B62">
        <w:rPr>
          <w:sz w:val="26"/>
          <w:szCs w:val="26"/>
          <w:lang w:val="uk-UA"/>
        </w:rPr>
        <w:t>(ОСББ, співвласників багатоквартирних будинків "фізичні та юридичні особи")</w:t>
      </w:r>
      <w:r w:rsidRPr="00102604">
        <w:rPr>
          <w:sz w:val="26"/>
          <w:szCs w:val="26"/>
          <w:lang w:val="uk-UA"/>
        </w:rPr>
        <w:t>щодо</w:t>
      </w:r>
      <w:r>
        <w:rPr>
          <w:sz w:val="26"/>
          <w:szCs w:val="26"/>
          <w:lang w:val="uk-UA"/>
        </w:rPr>
        <w:t xml:space="preserve"> мінімізації</w:t>
      </w:r>
      <w:r w:rsidRPr="00102604">
        <w:rPr>
          <w:sz w:val="26"/>
          <w:szCs w:val="26"/>
          <w:lang w:val="uk-UA"/>
        </w:rPr>
        <w:t xml:space="preserve"> фінансового навантаження на його виконання.  </w:t>
      </w:r>
    </w:p>
    <w:p w:rsidR="002C2392" w:rsidRPr="004F5FF2" w:rsidRDefault="002C2392" w:rsidP="002C239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02604">
        <w:rPr>
          <w:sz w:val="26"/>
          <w:szCs w:val="26"/>
          <w:lang w:val="uk-UA"/>
        </w:rPr>
        <w:t xml:space="preserve">Враховуючи простий та прозорий механізм реалізації регуляторного акта, результатом чого стали </w:t>
      </w:r>
      <w:r>
        <w:rPr>
          <w:sz w:val="26"/>
          <w:szCs w:val="26"/>
          <w:lang w:val="uk-UA"/>
        </w:rPr>
        <w:t>менші</w:t>
      </w:r>
      <w:r w:rsidRPr="00102604">
        <w:rPr>
          <w:sz w:val="26"/>
          <w:szCs w:val="26"/>
          <w:lang w:val="uk-UA"/>
        </w:rPr>
        <w:t xml:space="preserve"> витрати </w:t>
      </w:r>
      <w:r w:rsidRPr="00102604">
        <w:rPr>
          <w:sz w:val="26"/>
          <w:szCs w:val="26"/>
          <w:lang w:val="en-US"/>
        </w:rPr>
        <w:t>c</w:t>
      </w:r>
      <w:proofErr w:type="spellStart"/>
      <w:r w:rsidRPr="00102604">
        <w:rPr>
          <w:sz w:val="26"/>
          <w:szCs w:val="26"/>
          <w:lang w:val="uk-UA"/>
        </w:rPr>
        <w:t>уб`</w:t>
      </w:r>
      <w:r w:rsidRPr="00A33B62">
        <w:rPr>
          <w:sz w:val="26"/>
          <w:szCs w:val="26"/>
          <w:lang w:val="uk-UA"/>
        </w:rPr>
        <w:t>єктів</w:t>
      </w:r>
      <w:proofErr w:type="spellEnd"/>
      <w:r w:rsidRPr="00102604">
        <w:rPr>
          <w:sz w:val="26"/>
          <w:szCs w:val="26"/>
          <w:lang w:val="uk-UA"/>
        </w:rPr>
        <w:t xml:space="preserve"> господарювання </w:t>
      </w:r>
      <w:r w:rsidRPr="00A33B62">
        <w:rPr>
          <w:sz w:val="26"/>
          <w:szCs w:val="26"/>
          <w:lang w:val="uk-UA"/>
        </w:rPr>
        <w:t>(ОСББ, співвласників багатоквартирних будинків "фізичні та юридичні особи")</w:t>
      </w:r>
      <w:r w:rsidRPr="00102604">
        <w:rPr>
          <w:sz w:val="26"/>
          <w:szCs w:val="26"/>
          <w:lang w:val="uk-UA"/>
        </w:rPr>
        <w:t xml:space="preserve">, необхідні для його впровадження, запропонований проект регуляторного акту не потребує розроблення додаткових </w:t>
      </w:r>
      <w:proofErr w:type="spellStart"/>
      <w:r w:rsidRPr="00102604">
        <w:rPr>
          <w:sz w:val="26"/>
          <w:szCs w:val="26"/>
          <w:lang w:val="uk-UA"/>
        </w:rPr>
        <w:t>коригуючих</w:t>
      </w:r>
      <w:proofErr w:type="spellEnd"/>
      <w:r w:rsidRPr="00102604">
        <w:rPr>
          <w:sz w:val="26"/>
          <w:szCs w:val="26"/>
          <w:lang w:val="uk-UA"/>
        </w:rPr>
        <w:t xml:space="preserve"> (пом’якшувальних) заходів.</w:t>
      </w:r>
      <w:bookmarkStart w:id="5" w:name="_GoBack"/>
      <w:bookmarkEnd w:id="5"/>
    </w:p>
    <w:sectPr w:rsidR="002C2392" w:rsidRPr="004F5FF2" w:rsidSect="00B4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71FB"/>
    <w:rsid w:val="00124B1E"/>
    <w:rsid w:val="00151883"/>
    <w:rsid w:val="00205849"/>
    <w:rsid w:val="002C2392"/>
    <w:rsid w:val="002D42F4"/>
    <w:rsid w:val="002E5354"/>
    <w:rsid w:val="003E4B4F"/>
    <w:rsid w:val="004F5FF2"/>
    <w:rsid w:val="005271FB"/>
    <w:rsid w:val="00613657"/>
    <w:rsid w:val="0076482D"/>
    <w:rsid w:val="008422BD"/>
    <w:rsid w:val="008463B8"/>
    <w:rsid w:val="008D1EAD"/>
    <w:rsid w:val="00906E93"/>
    <w:rsid w:val="009349B3"/>
    <w:rsid w:val="00AD2DBE"/>
    <w:rsid w:val="00B159BB"/>
    <w:rsid w:val="00B46010"/>
    <w:rsid w:val="00BB0CB2"/>
    <w:rsid w:val="00C66D20"/>
    <w:rsid w:val="00DA4F92"/>
    <w:rsid w:val="00E145A5"/>
    <w:rsid w:val="00E169EE"/>
    <w:rsid w:val="00E41FD0"/>
    <w:rsid w:val="00E53D25"/>
    <w:rsid w:val="00E712BC"/>
    <w:rsid w:val="00E96221"/>
    <w:rsid w:val="00EC38BB"/>
    <w:rsid w:val="00F9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1FB"/>
    <w:rPr>
      <w:b/>
      <w:bCs/>
    </w:rPr>
  </w:style>
  <w:style w:type="paragraph" w:styleId="a4">
    <w:name w:val="Normal (Web)"/>
    <w:basedOn w:val="a"/>
    <w:uiPriority w:val="99"/>
    <w:semiHidden/>
    <w:unhideWhenUsed/>
    <w:rsid w:val="00F9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2C23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2C23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2C2392"/>
  </w:style>
  <w:style w:type="paragraph" w:customStyle="1" w:styleId="rvps14">
    <w:name w:val="rvps14"/>
    <w:basedOn w:val="a"/>
    <w:rsid w:val="002C23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1FB"/>
    <w:rPr>
      <w:b/>
      <w:bCs/>
    </w:rPr>
  </w:style>
  <w:style w:type="paragraph" w:styleId="a4">
    <w:name w:val="Normal (Web)"/>
    <w:basedOn w:val="a"/>
    <w:uiPriority w:val="99"/>
    <w:semiHidden/>
    <w:unhideWhenUsed/>
    <w:rsid w:val="00F9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2C23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2C23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2C2392"/>
  </w:style>
  <w:style w:type="paragraph" w:customStyle="1" w:styleId="rvps14">
    <w:name w:val="rvps14"/>
    <w:basedOn w:val="a"/>
    <w:rsid w:val="002C23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FE06-1321-441C-A057-C19F5DD1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user243a</cp:lastModifiedBy>
  <cp:revision>4</cp:revision>
  <dcterms:created xsi:type="dcterms:W3CDTF">2017-08-09T07:12:00Z</dcterms:created>
  <dcterms:modified xsi:type="dcterms:W3CDTF">2017-08-10T13:39:00Z</dcterms:modified>
</cp:coreProperties>
</file>