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70" w:rsidRPr="00D04988" w:rsidRDefault="00F50B14" w:rsidP="00AC6FBF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D04988">
        <w:rPr>
          <w:rFonts w:ascii="Times New Roman" w:hAnsi="Times New Roman"/>
          <w:b/>
          <w:sz w:val="27"/>
          <w:szCs w:val="27"/>
        </w:rPr>
        <w:t>Інформація</w:t>
      </w:r>
      <w:r w:rsidR="00AC6FBF" w:rsidRPr="00D04988">
        <w:rPr>
          <w:rFonts w:ascii="Times New Roman" w:hAnsi="Times New Roman"/>
          <w:b/>
          <w:sz w:val="27"/>
          <w:szCs w:val="27"/>
        </w:rPr>
        <w:t xml:space="preserve"> про підсумки фінансово-господарської діяльності підприємств комунальної форми власності м. Миколаєва</w:t>
      </w:r>
      <w:r w:rsidRPr="00D04988">
        <w:rPr>
          <w:rFonts w:ascii="Times New Roman" w:hAnsi="Times New Roman"/>
          <w:b/>
          <w:sz w:val="27"/>
          <w:szCs w:val="27"/>
        </w:rPr>
        <w:t xml:space="preserve"> </w:t>
      </w:r>
      <w:r w:rsidR="00AC6FBF" w:rsidRPr="00D04988">
        <w:rPr>
          <w:rFonts w:ascii="Times New Roman" w:hAnsi="Times New Roman"/>
          <w:b/>
          <w:spacing w:val="-1"/>
          <w:sz w:val="27"/>
          <w:szCs w:val="27"/>
        </w:rPr>
        <w:t xml:space="preserve">за </w:t>
      </w:r>
      <w:r w:rsidR="005B4BB9" w:rsidRPr="00D04988">
        <w:rPr>
          <w:rFonts w:ascii="Times New Roman" w:hAnsi="Times New Roman"/>
          <w:b/>
          <w:spacing w:val="-1"/>
          <w:sz w:val="27"/>
          <w:szCs w:val="27"/>
        </w:rPr>
        <w:t xml:space="preserve">І півріччя </w:t>
      </w:r>
      <w:r w:rsidR="00AC6FBF" w:rsidRPr="00D04988">
        <w:rPr>
          <w:rFonts w:ascii="Times New Roman" w:hAnsi="Times New Roman"/>
          <w:b/>
          <w:spacing w:val="-1"/>
          <w:sz w:val="27"/>
          <w:szCs w:val="27"/>
        </w:rPr>
        <w:t>20</w:t>
      </w:r>
      <w:r w:rsidR="00B228B3">
        <w:rPr>
          <w:rFonts w:ascii="Times New Roman" w:hAnsi="Times New Roman"/>
          <w:b/>
          <w:spacing w:val="-1"/>
          <w:sz w:val="27"/>
          <w:szCs w:val="27"/>
        </w:rPr>
        <w:t>20</w:t>
      </w:r>
      <w:r w:rsidR="00AC6FBF" w:rsidRPr="00D04988">
        <w:rPr>
          <w:rFonts w:ascii="Times New Roman" w:hAnsi="Times New Roman"/>
          <w:b/>
          <w:spacing w:val="-1"/>
          <w:sz w:val="27"/>
          <w:szCs w:val="27"/>
        </w:rPr>
        <w:t xml:space="preserve"> р</w:t>
      </w:r>
      <w:r w:rsidR="005B4BB9" w:rsidRPr="00D04988">
        <w:rPr>
          <w:rFonts w:ascii="Times New Roman" w:hAnsi="Times New Roman"/>
          <w:b/>
          <w:spacing w:val="-1"/>
          <w:sz w:val="27"/>
          <w:szCs w:val="27"/>
        </w:rPr>
        <w:t>оку</w:t>
      </w:r>
    </w:p>
    <w:p w:rsidR="00697DA4" w:rsidRPr="000A164E" w:rsidRDefault="00697DA4" w:rsidP="00697DA4">
      <w:pPr>
        <w:spacing w:after="0"/>
        <w:jc w:val="right"/>
        <w:rPr>
          <w:rFonts w:ascii="Times New Roman" w:hAnsi="Times New Roman"/>
          <w:color w:val="FF0000"/>
          <w:sz w:val="20"/>
          <w:szCs w:val="20"/>
        </w:rPr>
      </w:pPr>
      <w:r w:rsidRPr="000A164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284"/>
        <w:gridCol w:w="1604"/>
        <w:gridCol w:w="833"/>
        <w:gridCol w:w="771"/>
        <w:gridCol w:w="1604"/>
      </w:tblGrid>
      <w:tr w:rsidR="000A164E" w:rsidRPr="000A164E" w:rsidTr="0074234D">
        <w:tc>
          <w:tcPr>
            <w:tcW w:w="543" w:type="dxa"/>
          </w:tcPr>
          <w:p w:rsidR="00697DA4" w:rsidRPr="00327856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697DA4" w:rsidRPr="00327856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з/</w:t>
            </w:r>
            <w:proofErr w:type="gramStart"/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</w:p>
        </w:tc>
        <w:tc>
          <w:tcPr>
            <w:tcW w:w="5284" w:type="dxa"/>
          </w:tcPr>
          <w:p w:rsidR="00697DA4" w:rsidRPr="00327856" w:rsidRDefault="00697DA4" w:rsidP="007423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697DA4" w:rsidRPr="00327856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План</w:t>
            </w:r>
          </w:p>
          <w:p w:rsidR="00697DA4" w:rsidRPr="00327856" w:rsidRDefault="0017589B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</w:t>
            </w:r>
            <w:proofErr w:type="spellStart"/>
            <w:r w:rsidR="005B4BB9"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півр</w:t>
            </w:r>
            <w:proofErr w:type="spellEnd"/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697DA4"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697DA4" w:rsidRPr="0032785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</w:t>
            </w:r>
            <w:r w:rsidR="003200D1" w:rsidRPr="0032785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20</w:t>
            </w:r>
            <w:r w:rsidR="00697DA4"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  <w:gridSpan w:val="2"/>
          </w:tcPr>
          <w:p w:rsidR="00697DA4" w:rsidRPr="00327856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327856" w:rsidRDefault="0017589B" w:rsidP="005B4BB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</w:t>
            </w:r>
            <w:proofErr w:type="spellStart"/>
            <w:r w:rsidR="005B4BB9"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півр</w:t>
            </w:r>
            <w:proofErr w:type="spellEnd"/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697DA4"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="003200D1" w:rsidRPr="0032785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020</w:t>
            </w:r>
            <w:r w:rsidR="00697DA4"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</w:tcPr>
          <w:p w:rsidR="00697DA4" w:rsidRPr="00327856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327856" w:rsidRDefault="0017589B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І </w:t>
            </w:r>
            <w:proofErr w:type="spellStart"/>
            <w:r w:rsidR="005B4BB9"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півр</w:t>
            </w:r>
            <w:proofErr w:type="spellEnd"/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. </w:t>
            </w:r>
            <w:r w:rsidR="00697DA4"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Pr="0032785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</w:t>
            </w:r>
            <w:r w:rsidR="003200D1" w:rsidRPr="0032785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9</w:t>
            </w:r>
            <w:r w:rsidR="00697DA4" w:rsidRPr="0032785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0A164E" w:rsidRPr="000A164E" w:rsidTr="0074234D">
        <w:tc>
          <w:tcPr>
            <w:tcW w:w="10639" w:type="dxa"/>
            <w:gridSpan w:val="6"/>
          </w:tcPr>
          <w:p w:rsidR="00697DA4" w:rsidRPr="00504216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50421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50421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50421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3200D1" w:rsidRPr="000A164E" w:rsidTr="00697DA4">
        <w:tc>
          <w:tcPr>
            <w:tcW w:w="543" w:type="dxa"/>
          </w:tcPr>
          <w:p w:rsidR="003200D1" w:rsidRPr="000804FB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3200D1" w:rsidRPr="000804FB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3200D1" w:rsidRPr="000804FB" w:rsidRDefault="00360C61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823 760,7</w:t>
            </w:r>
          </w:p>
        </w:tc>
        <w:tc>
          <w:tcPr>
            <w:tcW w:w="1604" w:type="dxa"/>
            <w:gridSpan w:val="2"/>
          </w:tcPr>
          <w:p w:rsidR="003200D1" w:rsidRPr="000804FB" w:rsidRDefault="00504216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670</w:t>
            </w:r>
            <w:r w:rsidR="0085165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731,7</w:t>
            </w:r>
          </w:p>
        </w:tc>
        <w:tc>
          <w:tcPr>
            <w:tcW w:w="1604" w:type="dxa"/>
          </w:tcPr>
          <w:p w:rsidR="003200D1" w:rsidRPr="000804FB" w:rsidRDefault="003200D1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645</w:t>
            </w:r>
            <w:r w:rsidR="00344DA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496,3</w:t>
            </w:r>
          </w:p>
        </w:tc>
      </w:tr>
      <w:tr w:rsidR="003200D1" w:rsidRPr="000A164E" w:rsidTr="00697DA4">
        <w:tc>
          <w:tcPr>
            <w:tcW w:w="543" w:type="dxa"/>
          </w:tcPr>
          <w:p w:rsidR="003200D1" w:rsidRPr="000804FB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3200D1" w:rsidRPr="000804FB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3200D1" w:rsidRPr="000804FB" w:rsidRDefault="00FB7885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846 930,71</w:t>
            </w:r>
          </w:p>
        </w:tc>
        <w:tc>
          <w:tcPr>
            <w:tcW w:w="1604" w:type="dxa"/>
            <w:gridSpan w:val="2"/>
          </w:tcPr>
          <w:p w:rsidR="003200D1" w:rsidRPr="000804FB" w:rsidRDefault="000804FB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691</w:t>
            </w:r>
            <w:r w:rsidR="00344DA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527,2</w:t>
            </w:r>
          </w:p>
        </w:tc>
        <w:tc>
          <w:tcPr>
            <w:tcW w:w="1604" w:type="dxa"/>
          </w:tcPr>
          <w:p w:rsidR="003200D1" w:rsidRPr="000804FB" w:rsidRDefault="003200D1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724</w:t>
            </w:r>
            <w:r w:rsidR="00344DA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804F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123,52</w:t>
            </w:r>
          </w:p>
        </w:tc>
      </w:tr>
      <w:tr w:rsidR="003200D1" w:rsidRPr="000A164E" w:rsidTr="00697DA4">
        <w:tc>
          <w:tcPr>
            <w:tcW w:w="543" w:type="dxa"/>
          </w:tcPr>
          <w:p w:rsidR="003200D1" w:rsidRPr="008D5020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D502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3200D1" w:rsidRPr="008D5020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D502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Валовий прибуток (збиток), </w:t>
            </w:r>
            <w:proofErr w:type="spellStart"/>
            <w:r w:rsidRPr="008D502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8D502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3200D1" w:rsidRPr="008D5020" w:rsidRDefault="003200D1" w:rsidP="008D502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D502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8D5020" w:rsidRPr="008D502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23 169,56</w:t>
            </w:r>
            <w:r w:rsidRPr="008D502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  <w:gridSpan w:val="2"/>
          </w:tcPr>
          <w:p w:rsidR="003200D1" w:rsidRPr="000A164E" w:rsidRDefault="003159D1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3159D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(20 766,40)</w:t>
            </w:r>
          </w:p>
        </w:tc>
        <w:tc>
          <w:tcPr>
            <w:tcW w:w="1604" w:type="dxa"/>
          </w:tcPr>
          <w:p w:rsidR="003200D1" w:rsidRPr="00DD0E9A" w:rsidRDefault="00A74819" w:rsidP="00EA6FD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DD0E9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</w:t>
            </w:r>
            <w:r w:rsidR="00EA6FD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22 651,87</w:t>
            </w:r>
            <w:r w:rsidR="003200D1" w:rsidRPr="00DD0E9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</w:tr>
      <w:tr w:rsidR="003200D1" w:rsidRPr="000A164E" w:rsidTr="00697DA4">
        <w:tc>
          <w:tcPr>
            <w:tcW w:w="543" w:type="dxa"/>
          </w:tcPr>
          <w:p w:rsidR="003200D1" w:rsidRPr="00CA5457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A545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3200D1" w:rsidRPr="00CA5457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A545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Чистий фінансовий результат, </w:t>
            </w:r>
            <w:proofErr w:type="spellStart"/>
            <w:r w:rsidRPr="00CA545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CA545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3200D1" w:rsidRPr="00CB7C02" w:rsidRDefault="00FA27E5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1 705,28</w:t>
            </w:r>
          </w:p>
        </w:tc>
        <w:tc>
          <w:tcPr>
            <w:tcW w:w="1604" w:type="dxa"/>
            <w:gridSpan w:val="2"/>
          </w:tcPr>
          <w:p w:rsidR="003200D1" w:rsidRPr="00CB7C02" w:rsidRDefault="0010242C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B7C0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(45</w:t>
            </w:r>
            <w:r w:rsidR="00C6098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CB7C0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662,06)</w:t>
            </w:r>
          </w:p>
        </w:tc>
        <w:tc>
          <w:tcPr>
            <w:tcW w:w="1604" w:type="dxa"/>
          </w:tcPr>
          <w:p w:rsidR="003200D1" w:rsidRPr="00DD0E9A" w:rsidRDefault="003200D1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DD0E9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(71</w:t>
            </w:r>
            <w:r w:rsidR="00C6098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DD0E9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602,29)</w:t>
            </w:r>
          </w:p>
        </w:tc>
      </w:tr>
      <w:tr w:rsidR="003200D1" w:rsidRPr="000A164E" w:rsidTr="00697DA4">
        <w:tc>
          <w:tcPr>
            <w:tcW w:w="543" w:type="dxa"/>
            <w:vMerge w:val="restart"/>
          </w:tcPr>
          <w:p w:rsidR="003200D1" w:rsidRPr="00CA5457" w:rsidRDefault="003200D1" w:rsidP="003200D1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3200D1" w:rsidRPr="00CA5457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CA5457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CA545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A5457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CA545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3200D1" w:rsidRPr="000A164E" w:rsidRDefault="00D1327F" w:rsidP="003200D1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24 449,18</w:t>
            </w:r>
          </w:p>
        </w:tc>
        <w:tc>
          <w:tcPr>
            <w:tcW w:w="1604" w:type="dxa"/>
            <w:gridSpan w:val="2"/>
          </w:tcPr>
          <w:p w:rsidR="003200D1" w:rsidRPr="0010242C" w:rsidRDefault="00135C9F" w:rsidP="003200D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0242C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  <w:r w:rsidR="00F2345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10242C">
              <w:rPr>
                <w:rFonts w:ascii="Times New Roman" w:hAnsi="Times New Roman"/>
                <w:sz w:val="26"/>
                <w:szCs w:val="26"/>
                <w:lang w:eastAsia="en-US"/>
              </w:rPr>
              <w:t>217,44</w:t>
            </w:r>
          </w:p>
        </w:tc>
        <w:tc>
          <w:tcPr>
            <w:tcW w:w="1604" w:type="dxa"/>
          </w:tcPr>
          <w:p w:rsidR="003200D1" w:rsidRPr="00DD0E9A" w:rsidRDefault="003200D1" w:rsidP="003200D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0E9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="00F2345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DD0E9A">
              <w:rPr>
                <w:rFonts w:ascii="Times New Roman" w:hAnsi="Times New Roman"/>
                <w:sz w:val="26"/>
                <w:szCs w:val="26"/>
                <w:lang w:eastAsia="en-US"/>
              </w:rPr>
              <w:t>342,2</w:t>
            </w:r>
          </w:p>
        </w:tc>
      </w:tr>
      <w:tr w:rsidR="003200D1" w:rsidRPr="000A164E" w:rsidTr="00697DA4">
        <w:tc>
          <w:tcPr>
            <w:tcW w:w="543" w:type="dxa"/>
            <w:vMerge/>
          </w:tcPr>
          <w:p w:rsidR="003200D1" w:rsidRPr="00CA5457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3200D1" w:rsidRPr="00CA5457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A5457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CA5457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CA545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A5457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CA5457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CA5457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CA5457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3200D1" w:rsidRPr="000A164E" w:rsidRDefault="003200D1" w:rsidP="00AD3FA6">
            <w:pPr>
              <w:suppressAutoHyphens/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AD3FA6">
              <w:rPr>
                <w:rFonts w:ascii="Times New Roman" w:hAnsi="Times New Roman"/>
                <w:sz w:val="26"/>
                <w:szCs w:val="26"/>
                <w:lang w:eastAsia="en-US"/>
              </w:rPr>
              <w:t>(</w:t>
            </w:r>
            <w:r w:rsidR="00AD3FA6" w:rsidRPr="00AD3FA6"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  <w:r w:rsidR="00713E2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AD3FA6" w:rsidRPr="00AD3FA6">
              <w:rPr>
                <w:rFonts w:ascii="Times New Roman" w:hAnsi="Times New Roman"/>
                <w:sz w:val="26"/>
                <w:szCs w:val="26"/>
                <w:lang w:eastAsia="en-US"/>
              </w:rPr>
              <w:t>743,9</w:t>
            </w:r>
            <w:r w:rsidRPr="00AD3FA6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  <w:gridSpan w:val="2"/>
          </w:tcPr>
          <w:p w:rsidR="003200D1" w:rsidRPr="0010242C" w:rsidRDefault="0054420D" w:rsidP="003200D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</w:t>
            </w:r>
            <w:r w:rsidR="00135C9F" w:rsidRPr="0010242C">
              <w:rPr>
                <w:rFonts w:ascii="Times New Roman" w:hAnsi="Times New Roman"/>
                <w:sz w:val="26"/>
                <w:szCs w:val="26"/>
                <w:lang w:eastAsia="en-US"/>
              </w:rPr>
              <w:t>52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135C9F" w:rsidRPr="0010242C">
              <w:rPr>
                <w:rFonts w:ascii="Times New Roman" w:hAnsi="Times New Roman"/>
                <w:sz w:val="26"/>
                <w:szCs w:val="26"/>
                <w:lang w:eastAsia="en-US"/>
              </w:rPr>
              <w:t>879,5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04" w:type="dxa"/>
          </w:tcPr>
          <w:p w:rsidR="003200D1" w:rsidRPr="00DD0E9A" w:rsidRDefault="003200D1" w:rsidP="003200D1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0E9A">
              <w:rPr>
                <w:rFonts w:ascii="Times New Roman" w:hAnsi="Times New Roman"/>
                <w:sz w:val="26"/>
                <w:szCs w:val="26"/>
                <w:lang w:eastAsia="en-US"/>
              </w:rPr>
              <w:t>(75</w:t>
            </w:r>
            <w:r w:rsidR="00C6098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DD0E9A">
              <w:rPr>
                <w:rFonts w:ascii="Times New Roman" w:hAnsi="Times New Roman"/>
                <w:sz w:val="26"/>
                <w:szCs w:val="26"/>
                <w:lang w:eastAsia="en-US"/>
              </w:rPr>
              <w:t>944,49)</w:t>
            </w:r>
          </w:p>
        </w:tc>
      </w:tr>
      <w:tr w:rsidR="003200D1" w:rsidRPr="000A164E" w:rsidTr="00697DA4">
        <w:tc>
          <w:tcPr>
            <w:tcW w:w="543" w:type="dxa"/>
          </w:tcPr>
          <w:p w:rsidR="003200D1" w:rsidRPr="00093415" w:rsidRDefault="0040449F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84" w:type="dxa"/>
          </w:tcPr>
          <w:p w:rsidR="003200D1" w:rsidRPr="00093415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09341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09341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09341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09341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09341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09341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09341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3200D1" w:rsidRPr="00093415" w:rsidRDefault="00BC2DD9" w:rsidP="001F093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09341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60</w:t>
            </w:r>
            <w:r w:rsidR="001F093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559</w:t>
            </w:r>
            <w:r w:rsidRPr="0009341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,</w:t>
            </w:r>
            <w:r w:rsidR="001F093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6 </w:t>
            </w:r>
          </w:p>
        </w:tc>
        <w:tc>
          <w:tcPr>
            <w:tcW w:w="1604" w:type="dxa"/>
            <w:gridSpan w:val="2"/>
          </w:tcPr>
          <w:p w:rsidR="003200D1" w:rsidRPr="000A164E" w:rsidRDefault="00093415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09341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101</w:t>
            </w:r>
            <w:r w:rsidR="001A3EF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9341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795,2</w:t>
            </w:r>
          </w:p>
        </w:tc>
        <w:tc>
          <w:tcPr>
            <w:tcW w:w="1604" w:type="dxa"/>
          </w:tcPr>
          <w:p w:rsidR="003200D1" w:rsidRPr="00DD0E9A" w:rsidRDefault="003200D1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DD0E9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74</w:t>
            </w:r>
            <w:r w:rsidR="001A3EF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DD0E9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371,08</w:t>
            </w:r>
          </w:p>
        </w:tc>
      </w:tr>
      <w:tr w:rsidR="003200D1" w:rsidRPr="000A164E" w:rsidTr="00697DA4">
        <w:tc>
          <w:tcPr>
            <w:tcW w:w="543" w:type="dxa"/>
          </w:tcPr>
          <w:p w:rsidR="003200D1" w:rsidRPr="0089623D" w:rsidRDefault="00BC54F9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962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3200D1" w:rsidRPr="0089623D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962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8962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8962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3200D1" w:rsidRPr="0089623D" w:rsidRDefault="0089623D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962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24 711,0 </w:t>
            </w:r>
          </w:p>
        </w:tc>
        <w:tc>
          <w:tcPr>
            <w:tcW w:w="1604" w:type="dxa"/>
            <w:gridSpan w:val="2"/>
          </w:tcPr>
          <w:p w:rsidR="003200D1" w:rsidRPr="0089623D" w:rsidRDefault="004C7755" w:rsidP="0089623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8962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(44</w:t>
            </w:r>
            <w:r w:rsidR="0089623D" w:rsidRPr="008962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962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</w:t>
            </w:r>
            <w:r w:rsidR="0089623D" w:rsidRPr="008962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95</w:t>
            </w:r>
            <w:r w:rsidRPr="008962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</w:t>
            </w:r>
            <w:r w:rsidR="0089623D" w:rsidRPr="008962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  <w:r w:rsidRPr="0089623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6)</w:t>
            </w:r>
          </w:p>
        </w:tc>
        <w:tc>
          <w:tcPr>
            <w:tcW w:w="1604" w:type="dxa"/>
          </w:tcPr>
          <w:p w:rsidR="003200D1" w:rsidRPr="00DD0E9A" w:rsidRDefault="003200D1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DD0E9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17</w:t>
            </w:r>
            <w:r w:rsidR="006D0F8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DD0E9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198,01</w:t>
            </w:r>
          </w:p>
        </w:tc>
      </w:tr>
      <w:tr w:rsidR="003200D1" w:rsidRPr="000A164E" w:rsidTr="00AD7EF8">
        <w:trPr>
          <w:trHeight w:val="237"/>
        </w:trPr>
        <w:tc>
          <w:tcPr>
            <w:tcW w:w="543" w:type="dxa"/>
          </w:tcPr>
          <w:p w:rsidR="003200D1" w:rsidRPr="00273A72" w:rsidRDefault="00BC54F9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3200D1" w:rsidRPr="00273A72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73A72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273A72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273A72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273A7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73A7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273A7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273A7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273A7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3200D1" w:rsidRPr="002B421D" w:rsidRDefault="00273A72" w:rsidP="002B42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21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358,42</w:t>
            </w:r>
          </w:p>
        </w:tc>
        <w:tc>
          <w:tcPr>
            <w:tcW w:w="1604" w:type="dxa"/>
            <w:gridSpan w:val="2"/>
            <w:vAlign w:val="center"/>
          </w:tcPr>
          <w:p w:rsidR="003200D1" w:rsidRPr="002B421D" w:rsidRDefault="00273A72" w:rsidP="002B42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21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907,2</w:t>
            </w:r>
          </w:p>
        </w:tc>
        <w:tc>
          <w:tcPr>
            <w:tcW w:w="1604" w:type="dxa"/>
            <w:vAlign w:val="center"/>
          </w:tcPr>
          <w:p w:rsidR="003200D1" w:rsidRPr="002B421D" w:rsidRDefault="003200D1" w:rsidP="002B421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21D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435,7</w:t>
            </w:r>
          </w:p>
        </w:tc>
      </w:tr>
      <w:tr w:rsidR="003200D1" w:rsidRPr="000A164E" w:rsidTr="0074234D">
        <w:tc>
          <w:tcPr>
            <w:tcW w:w="10639" w:type="dxa"/>
            <w:gridSpan w:val="6"/>
          </w:tcPr>
          <w:p w:rsidR="003200D1" w:rsidRPr="00205EA8" w:rsidRDefault="003200D1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3200D1" w:rsidRPr="000A164E" w:rsidTr="0074234D">
        <w:tc>
          <w:tcPr>
            <w:tcW w:w="543" w:type="dxa"/>
          </w:tcPr>
          <w:p w:rsidR="003200D1" w:rsidRPr="000A164E" w:rsidRDefault="00BC54F9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3200D1" w:rsidRPr="00205EA8" w:rsidRDefault="003200D1" w:rsidP="003200D1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</w:tcPr>
          <w:p w:rsidR="003200D1" w:rsidRPr="00205EA8" w:rsidRDefault="00205EA8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5078</w:t>
            </w:r>
          </w:p>
        </w:tc>
        <w:tc>
          <w:tcPr>
            <w:tcW w:w="1604" w:type="dxa"/>
            <w:gridSpan w:val="2"/>
          </w:tcPr>
          <w:p w:rsidR="003200D1" w:rsidRPr="00205EA8" w:rsidRDefault="00205EA8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4499</w:t>
            </w:r>
          </w:p>
        </w:tc>
        <w:tc>
          <w:tcPr>
            <w:tcW w:w="1604" w:type="dxa"/>
          </w:tcPr>
          <w:p w:rsidR="003200D1" w:rsidRPr="00205EA8" w:rsidRDefault="003200D1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05EA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4604</w:t>
            </w:r>
          </w:p>
        </w:tc>
      </w:tr>
      <w:tr w:rsidR="003200D1" w:rsidRPr="000A164E" w:rsidTr="0074234D">
        <w:tc>
          <w:tcPr>
            <w:tcW w:w="543" w:type="dxa"/>
          </w:tcPr>
          <w:p w:rsidR="003200D1" w:rsidRPr="00B44780" w:rsidRDefault="00BC54F9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B4478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84" w:type="dxa"/>
          </w:tcPr>
          <w:p w:rsidR="003200D1" w:rsidRPr="00B44780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B44780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B4478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44780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B4478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44780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B4478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</w:tcPr>
          <w:p w:rsidR="003200D1" w:rsidRPr="000A164E" w:rsidRDefault="00B44780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B4478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  <w:r w:rsidR="0048304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4478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845,7</w:t>
            </w:r>
          </w:p>
        </w:tc>
        <w:tc>
          <w:tcPr>
            <w:tcW w:w="1604" w:type="dxa"/>
            <w:gridSpan w:val="2"/>
          </w:tcPr>
          <w:p w:rsidR="003200D1" w:rsidRPr="000A164E" w:rsidRDefault="00B44780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B4478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  <w:r w:rsidR="0048304C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4478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995,04</w:t>
            </w:r>
          </w:p>
        </w:tc>
        <w:tc>
          <w:tcPr>
            <w:tcW w:w="1604" w:type="dxa"/>
          </w:tcPr>
          <w:p w:rsidR="003200D1" w:rsidRPr="000A164E" w:rsidRDefault="00607D77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7996,0</w:t>
            </w:r>
            <w:r w:rsidR="001B000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200D1" w:rsidRPr="000A164E" w:rsidTr="0074234D">
        <w:tc>
          <w:tcPr>
            <w:tcW w:w="10639" w:type="dxa"/>
            <w:gridSpan w:val="6"/>
          </w:tcPr>
          <w:p w:rsidR="003200D1" w:rsidRPr="00F66B80" w:rsidRDefault="003200D1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F66B80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F66B80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F66B80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F66B80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3200D1" w:rsidRPr="000A164E" w:rsidTr="003C78A6">
        <w:tc>
          <w:tcPr>
            <w:tcW w:w="543" w:type="dxa"/>
          </w:tcPr>
          <w:p w:rsidR="003200D1" w:rsidRPr="000A164E" w:rsidRDefault="003200D1" w:rsidP="003200D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3200D1" w:rsidRPr="00F66B80" w:rsidRDefault="003200D1" w:rsidP="003200D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F66B80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3200D1" w:rsidRPr="00F66B80" w:rsidRDefault="003200D1" w:rsidP="003C78A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F66B8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3200D1" w:rsidRPr="00F66B80" w:rsidRDefault="003200D1" w:rsidP="003C78A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F66B80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3200D1" w:rsidRPr="000A164E" w:rsidTr="0074234D">
        <w:tc>
          <w:tcPr>
            <w:tcW w:w="543" w:type="dxa"/>
          </w:tcPr>
          <w:p w:rsidR="003200D1" w:rsidRPr="00B26B36" w:rsidRDefault="003200D1" w:rsidP="00BC54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B26B3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</w:t>
            </w:r>
            <w:r w:rsidR="00BC54F9" w:rsidRPr="00B26B3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5284" w:type="dxa"/>
          </w:tcPr>
          <w:p w:rsidR="003200D1" w:rsidRPr="00B26B36" w:rsidRDefault="003200D1" w:rsidP="003200D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B26B3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B26B3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B26B3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B26B3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B26B3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B26B3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B26B3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B26B3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3200D1" w:rsidRPr="00B26B36" w:rsidRDefault="003200D1" w:rsidP="003200D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3200D1" w:rsidRPr="00B26B36" w:rsidRDefault="00B26B36" w:rsidP="00320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B26B3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315</w:t>
            </w:r>
            <w:r w:rsidR="00DA712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26B3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361,5</w:t>
            </w:r>
          </w:p>
        </w:tc>
        <w:tc>
          <w:tcPr>
            <w:tcW w:w="2375" w:type="dxa"/>
            <w:gridSpan w:val="2"/>
          </w:tcPr>
          <w:p w:rsidR="003200D1" w:rsidRPr="00B26B36" w:rsidRDefault="00B26B36" w:rsidP="00320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B26B3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305</w:t>
            </w:r>
            <w:r w:rsidR="00DA712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26B3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162,7</w:t>
            </w:r>
          </w:p>
        </w:tc>
      </w:tr>
      <w:tr w:rsidR="00A94FC9" w:rsidRPr="00A94FC9" w:rsidTr="0074234D">
        <w:tc>
          <w:tcPr>
            <w:tcW w:w="543" w:type="dxa"/>
          </w:tcPr>
          <w:p w:rsidR="003200D1" w:rsidRPr="00A94FC9" w:rsidRDefault="003200D1" w:rsidP="00BC54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94FC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</w:t>
            </w:r>
            <w:r w:rsidR="00BC54F9" w:rsidRPr="00A94FC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5284" w:type="dxa"/>
          </w:tcPr>
          <w:p w:rsidR="003200D1" w:rsidRPr="00A94FC9" w:rsidRDefault="003200D1" w:rsidP="003200D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94FC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A94FC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94FC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A94FC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A94FC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A94FC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A94FC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A94FC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3200D1" w:rsidRPr="00A94FC9" w:rsidRDefault="003200D1" w:rsidP="003200D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3200D1" w:rsidRPr="00A94FC9" w:rsidRDefault="00A94FC9" w:rsidP="00320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94FC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407</w:t>
            </w:r>
            <w:r w:rsidR="00DA712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94FC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481</w:t>
            </w:r>
          </w:p>
        </w:tc>
        <w:tc>
          <w:tcPr>
            <w:tcW w:w="2375" w:type="dxa"/>
            <w:gridSpan w:val="2"/>
          </w:tcPr>
          <w:p w:rsidR="003200D1" w:rsidRPr="00A94FC9" w:rsidRDefault="00A94FC9" w:rsidP="00320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94FC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329</w:t>
            </w:r>
            <w:r w:rsidR="00DA712A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94FC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340,6</w:t>
            </w:r>
          </w:p>
        </w:tc>
      </w:tr>
    </w:tbl>
    <w:p w:rsidR="00240524" w:rsidRPr="000A164E" w:rsidRDefault="00240524" w:rsidP="00875FE1">
      <w:pPr>
        <w:spacing w:after="0"/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240524" w:rsidRPr="000A164E" w:rsidRDefault="00240524" w:rsidP="00875FE1">
      <w:pPr>
        <w:spacing w:after="0"/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4225E9" w:rsidRPr="000A164E" w:rsidRDefault="0057469F" w:rsidP="004F1EC9">
      <w:pPr>
        <w:spacing w:after="0"/>
        <w:jc w:val="both"/>
        <w:rPr>
          <w:rFonts w:ascii="Times New Roman" w:hAnsi="Times New Roman"/>
          <w:b/>
          <w:i/>
          <w:color w:val="FF0000"/>
        </w:rPr>
      </w:pPr>
      <w:r w:rsidRPr="000A164E">
        <w:rPr>
          <w:rFonts w:ascii="Times New Roman" w:hAnsi="Times New Roman"/>
          <w:b/>
          <w:i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185420</wp:posOffset>
            </wp:positionV>
            <wp:extent cx="2752725" cy="2628900"/>
            <wp:effectExtent l="19050" t="0" r="9525" b="0"/>
            <wp:wrapSquare wrapText="bothSides"/>
            <wp:docPr id="9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3242B5" w:rsidRPr="000A164E">
        <w:rPr>
          <w:rFonts w:ascii="Times New Roman" w:hAnsi="Times New Roman"/>
          <w:b/>
          <w:i/>
          <w:color w:val="FF0000"/>
        </w:rPr>
        <w:tab/>
      </w:r>
      <w:r w:rsidR="003242B5" w:rsidRPr="000A164E">
        <w:rPr>
          <w:rFonts w:ascii="Times New Roman" w:hAnsi="Times New Roman"/>
          <w:b/>
          <w:i/>
          <w:color w:val="FF0000"/>
        </w:rPr>
        <w:tab/>
      </w:r>
      <w:r w:rsidR="003242B5" w:rsidRPr="000A164E">
        <w:rPr>
          <w:rFonts w:ascii="Times New Roman" w:hAnsi="Times New Roman"/>
          <w:b/>
          <w:i/>
          <w:color w:val="FF0000"/>
        </w:rPr>
        <w:tab/>
      </w:r>
      <w:r w:rsidR="003242B5" w:rsidRPr="000A164E">
        <w:rPr>
          <w:rFonts w:ascii="Times New Roman" w:hAnsi="Times New Roman"/>
          <w:b/>
          <w:i/>
          <w:color w:val="FF0000"/>
        </w:rPr>
        <w:tab/>
      </w:r>
      <w:r w:rsidR="00D001B7" w:rsidRPr="000A164E">
        <w:rPr>
          <w:rFonts w:ascii="Times New Roman" w:hAnsi="Times New Roman"/>
          <w:b/>
          <w:i/>
          <w:color w:val="FF0000"/>
        </w:rPr>
        <w:t xml:space="preserve">          </w:t>
      </w:r>
      <w:r w:rsidR="0018395D" w:rsidRPr="0018395D">
        <w:rPr>
          <w:rFonts w:ascii="Times New Roman" w:hAnsi="Times New Roman"/>
          <w:b/>
          <w:i/>
        </w:rPr>
        <w:t>т</w:t>
      </w:r>
      <w:r w:rsidR="003242B5" w:rsidRPr="0018395D">
        <w:rPr>
          <w:rFonts w:ascii="Times New Roman" w:hAnsi="Times New Roman"/>
          <w:b/>
          <w:i/>
        </w:rPr>
        <w:t>и</w:t>
      </w:r>
      <w:r w:rsidR="003242B5" w:rsidRPr="00683D31">
        <w:rPr>
          <w:rFonts w:ascii="Times New Roman" w:hAnsi="Times New Roman"/>
          <w:b/>
          <w:i/>
        </w:rPr>
        <w:t>с</w:t>
      </w:r>
      <w:r w:rsidR="0018395D">
        <w:rPr>
          <w:rFonts w:ascii="Times New Roman" w:hAnsi="Times New Roman"/>
          <w:b/>
          <w:i/>
        </w:rPr>
        <w:t xml:space="preserve">. </w:t>
      </w:r>
      <w:proofErr w:type="spellStart"/>
      <w:r w:rsidR="003242B5" w:rsidRPr="00683D31">
        <w:rPr>
          <w:rFonts w:ascii="Times New Roman" w:hAnsi="Times New Roman"/>
          <w:b/>
          <w:i/>
        </w:rPr>
        <w:t>грн</w:t>
      </w:r>
      <w:proofErr w:type="spellEnd"/>
      <w:r w:rsidR="003242B5" w:rsidRPr="00683D31">
        <w:rPr>
          <w:rFonts w:ascii="Times New Roman" w:hAnsi="Times New Roman"/>
          <w:b/>
          <w:i/>
        </w:rPr>
        <w:t xml:space="preserve">                                                                      </w:t>
      </w:r>
      <w:r w:rsidR="003242B5" w:rsidRPr="00A31853">
        <w:rPr>
          <w:rFonts w:ascii="Times New Roman" w:hAnsi="Times New Roman"/>
          <w:b/>
          <w:i/>
        </w:rPr>
        <w:t>тис.</w:t>
      </w:r>
      <w:r w:rsidR="00351DF4">
        <w:rPr>
          <w:rFonts w:ascii="Times New Roman" w:hAnsi="Times New Roman"/>
          <w:b/>
          <w:i/>
        </w:rPr>
        <w:t xml:space="preserve"> </w:t>
      </w:r>
      <w:r w:rsidR="003242B5" w:rsidRPr="00A31853">
        <w:rPr>
          <w:rFonts w:ascii="Times New Roman" w:hAnsi="Times New Roman"/>
          <w:b/>
          <w:i/>
        </w:rPr>
        <w:t>грн.</w:t>
      </w:r>
    </w:p>
    <w:p w:rsidR="00F54FC3" w:rsidRPr="000A164E" w:rsidRDefault="00BF324F" w:rsidP="004F1EC9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164E"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2714625" cy="26289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01B7" w:rsidRPr="000A164E" w:rsidRDefault="00D001B7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04988" w:rsidRPr="000A164E" w:rsidRDefault="00D04988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40524" w:rsidRPr="000A164E" w:rsidRDefault="00240524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001B7" w:rsidRPr="00590481" w:rsidRDefault="00D001B7" w:rsidP="00D001B7">
      <w:pPr>
        <w:spacing w:after="0"/>
        <w:jc w:val="both"/>
        <w:rPr>
          <w:rFonts w:ascii="Times New Roman" w:hAnsi="Times New Roman"/>
          <w:b/>
          <w:i/>
        </w:rPr>
      </w:pPr>
      <w:r w:rsidRPr="000A164E">
        <w:rPr>
          <w:rFonts w:ascii="Times New Roman" w:hAnsi="Times New Roman"/>
          <w:b/>
          <w:i/>
          <w:color w:val="FF0000"/>
        </w:rPr>
        <w:lastRenderedPageBreak/>
        <w:tab/>
      </w:r>
      <w:r w:rsidRPr="000A164E">
        <w:rPr>
          <w:rFonts w:ascii="Times New Roman" w:hAnsi="Times New Roman"/>
          <w:b/>
          <w:i/>
          <w:color w:val="FF0000"/>
        </w:rPr>
        <w:tab/>
      </w:r>
      <w:r w:rsidRPr="000A164E">
        <w:rPr>
          <w:rFonts w:ascii="Times New Roman" w:hAnsi="Times New Roman"/>
          <w:b/>
          <w:i/>
          <w:color w:val="FF0000"/>
        </w:rPr>
        <w:tab/>
      </w:r>
      <w:r w:rsidRPr="000A164E">
        <w:rPr>
          <w:rFonts w:ascii="Times New Roman" w:hAnsi="Times New Roman"/>
          <w:b/>
          <w:i/>
          <w:color w:val="FF0000"/>
        </w:rPr>
        <w:tab/>
      </w:r>
      <w:r w:rsidRPr="00590481">
        <w:rPr>
          <w:rFonts w:ascii="Times New Roman" w:hAnsi="Times New Roman"/>
          <w:b/>
          <w:i/>
        </w:rPr>
        <w:t xml:space="preserve">           </w:t>
      </w:r>
      <w:r w:rsidR="00590481">
        <w:rPr>
          <w:rFonts w:ascii="Times New Roman" w:hAnsi="Times New Roman"/>
          <w:b/>
          <w:i/>
        </w:rPr>
        <w:t xml:space="preserve">тис. </w:t>
      </w:r>
      <w:proofErr w:type="spellStart"/>
      <w:r w:rsidR="00590481" w:rsidRPr="00590481">
        <w:rPr>
          <w:rFonts w:ascii="Times New Roman" w:hAnsi="Times New Roman"/>
          <w:b/>
          <w:i/>
        </w:rPr>
        <w:t>грн</w:t>
      </w:r>
      <w:proofErr w:type="spellEnd"/>
      <w:r w:rsidRPr="00590481">
        <w:rPr>
          <w:rFonts w:ascii="Times New Roman" w:hAnsi="Times New Roman"/>
          <w:b/>
          <w:i/>
        </w:rPr>
        <w:t xml:space="preserve">                                                                      тис.</w:t>
      </w:r>
      <w:r w:rsidR="00590481">
        <w:rPr>
          <w:rFonts w:ascii="Times New Roman" w:hAnsi="Times New Roman"/>
          <w:b/>
          <w:i/>
        </w:rPr>
        <w:t xml:space="preserve"> </w:t>
      </w:r>
      <w:proofErr w:type="spellStart"/>
      <w:r w:rsidR="00590481">
        <w:rPr>
          <w:rFonts w:ascii="Times New Roman" w:hAnsi="Times New Roman"/>
          <w:b/>
          <w:i/>
        </w:rPr>
        <w:t>грн</w:t>
      </w:r>
      <w:proofErr w:type="spellEnd"/>
    </w:p>
    <w:p w:rsidR="00D001B7" w:rsidRPr="000A164E" w:rsidRDefault="00D001B7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0704C" w:rsidRPr="000A164E" w:rsidRDefault="0070704C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164E">
        <w:rPr>
          <w:rFonts w:ascii="Times New Roman" w:hAnsi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-635</wp:posOffset>
            </wp:positionV>
            <wp:extent cx="2752725" cy="2628900"/>
            <wp:effectExtent l="0" t="0" r="9525" b="19050"/>
            <wp:wrapSquare wrapText="bothSides"/>
            <wp:docPr id="8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0A164E">
        <w:rPr>
          <w:rFonts w:ascii="Times New Roman" w:hAnsi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628900"/>
            <wp:effectExtent l="19050" t="0" r="952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0A164E"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  <w:r w:rsidRPr="000A164E">
        <w:rPr>
          <w:rFonts w:ascii="Times New Roman" w:hAnsi="Times New Roman"/>
          <w:b/>
          <w:color w:val="FF0000"/>
          <w:sz w:val="24"/>
          <w:szCs w:val="24"/>
        </w:rPr>
        <w:br w:type="textWrapping" w:clear="all"/>
      </w:r>
    </w:p>
    <w:p w:rsidR="00F54FC3" w:rsidRPr="000A164E" w:rsidRDefault="00D001B7" w:rsidP="00697DA4">
      <w:pPr>
        <w:spacing w:after="0"/>
        <w:ind w:right="-142"/>
        <w:jc w:val="both"/>
        <w:rPr>
          <w:rFonts w:ascii="Times New Roman" w:hAnsi="Times New Roman"/>
          <w:b/>
          <w:color w:val="FF0000"/>
        </w:rPr>
      </w:pPr>
      <w:r w:rsidRPr="000A164E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       </w:t>
      </w:r>
    </w:p>
    <w:p w:rsidR="003242B5" w:rsidRPr="000A164E" w:rsidRDefault="00144240" w:rsidP="003242B5">
      <w:pPr>
        <w:spacing w:after="0"/>
        <w:jc w:val="both"/>
        <w:rPr>
          <w:rFonts w:ascii="Times New Roman" w:hAnsi="Times New Roman"/>
          <w:b/>
          <w:color w:val="FF0000"/>
        </w:rPr>
      </w:pPr>
      <w:r w:rsidRPr="000A164E">
        <w:rPr>
          <w:rFonts w:ascii="Times New Roman" w:hAnsi="Times New Roman"/>
          <w:b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187325</wp:posOffset>
            </wp:positionV>
            <wp:extent cx="2752725" cy="2628900"/>
            <wp:effectExtent l="19050" t="0" r="9525" b="0"/>
            <wp:wrapSquare wrapText="bothSides"/>
            <wp:docPr id="7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242B5" w:rsidRPr="000A164E">
        <w:rPr>
          <w:rFonts w:ascii="Times New Roman" w:hAnsi="Times New Roman"/>
          <w:b/>
          <w:color w:val="FF0000"/>
        </w:rPr>
        <w:tab/>
      </w:r>
      <w:r w:rsidR="003242B5" w:rsidRPr="000A164E">
        <w:rPr>
          <w:rFonts w:ascii="Times New Roman" w:hAnsi="Times New Roman"/>
          <w:b/>
          <w:color w:val="FF0000"/>
        </w:rPr>
        <w:tab/>
      </w:r>
      <w:r w:rsidR="003242B5" w:rsidRPr="000A164E">
        <w:rPr>
          <w:rFonts w:ascii="Times New Roman" w:hAnsi="Times New Roman"/>
          <w:b/>
          <w:color w:val="FF0000"/>
        </w:rPr>
        <w:tab/>
      </w:r>
      <w:r w:rsidRPr="000A164E">
        <w:rPr>
          <w:rFonts w:ascii="Times New Roman" w:hAnsi="Times New Roman"/>
          <w:b/>
          <w:color w:val="FF0000"/>
        </w:rPr>
        <w:t xml:space="preserve">                    </w:t>
      </w:r>
      <w:r w:rsidR="003242B5" w:rsidRPr="001525EB">
        <w:rPr>
          <w:rFonts w:ascii="Times New Roman" w:hAnsi="Times New Roman"/>
          <w:b/>
          <w:i/>
        </w:rPr>
        <w:t xml:space="preserve">одиниць                                                                              </w:t>
      </w:r>
      <w:proofErr w:type="spellStart"/>
      <w:r w:rsidR="003242B5" w:rsidRPr="001525EB">
        <w:rPr>
          <w:rFonts w:ascii="Times New Roman" w:hAnsi="Times New Roman"/>
          <w:b/>
          <w:i/>
        </w:rPr>
        <w:t>одиниць</w:t>
      </w:r>
      <w:proofErr w:type="spellEnd"/>
    </w:p>
    <w:p w:rsidR="003242B5" w:rsidRPr="000A164E" w:rsidRDefault="003242B5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164E"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2771775" cy="2628900"/>
            <wp:effectExtent l="19050" t="0" r="9525" b="0"/>
            <wp:docPr id="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44240" w:rsidRPr="000A164E"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</w:p>
    <w:p w:rsidR="00875FE1" w:rsidRPr="000A164E" w:rsidRDefault="00875FE1" w:rsidP="00D344B7">
      <w:pPr>
        <w:spacing w:after="0"/>
        <w:rPr>
          <w:rFonts w:ascii="Times New Roman" w:hAnsi="Times New Roman"/>
          <w:color w:val="FF0000"/>
          <w:sz w:val="20"/>
          <w:szCs w:val="20"/>
        </w:rPr>
      </w:pP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F54FC3" w:rsidRPr="00C70E1A" w:rsidRDefault="003242B5" w:rsidP="004F1EC9">
      <w:pPr>
        <w:spacing w:after="0"/>
        <w:jc w:val="both"/>
        <w:rPr>
          <w:rFonts w:ascii="Times New Roman" w:hAnsi="Times New Roman"/>
          <w:b/>
          <w:i/>
        </w:rPr>
      </w:pP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  <w:r w:rsidRPr="000A164E">
        <w:rPr>
          <w:rFonts w:ascii="Times New Roman" w:hAnsi="Times New Roman"/>
          <w:b/>
          <w:color w:val="FF0000"/>
          <w:sz w:val="24"/>
          <w:szCs w:val="24"/>
        </w:rPr>
        <w:tab/>
      </w:r>
      <w:r w:rsidR="0085434E" w:rsidRPr="00873BE8">
        <w:rPr>
          <w:rFonts w:ascii="Times New Roman" w:hAnsi="Times New Roman"/>
          <w:b/>
          <w:sz w:val="24"/>
          <w:szCs w:val="24"/>
        </w:rPr>
        <w:t xml:space="preserve">            </w:t>
      </w:r>
      <w:r w:rsidR="002D5903" w:rsidRPr="00873BE8">
        <w:rPr>
          <w:rFonts w:ascii="Times New Roman" w:hAnsi="Times New Roman"/>
          <w:b/>
          <w:i/>
        </w:rPr>
        <w:t>о</w:t>
      </w:r>
      <w:r w:rsidRPr="00873BE8">
        <w:rPr>
          <w:rFonts w:ascii="Times New Roman" w:hAnsi="Times New Roman"/>
          <w:b/>
          <w:i/>
        </w:rPr>
        <w:t>сіб</w:t>
      </w:r>
      <w:r w:rsidRPr="000A164E">
        <w:rPr>
          <w:rFonts w:ascii="Times New Roman" w:hAnsi="Times New Roman"/>
          <w:b/>
          <w:i/>
          <w:color w:val="FF0000"/>
        </w:rPr>
        <w:t xml:space="preserve"> </w:t>
      </w:r>
      <w:r w:rsidR="0085434E" w:rsidRPr="000A164E">
        <w:rPr>
          <w:rFonts w:ascii="Times New Roman" w:hAnsi="Times New Roman"/>
          <w:b/>
          <w:i/>
          <w:color w:val="FF0000"/>
        </w:rPr>
        <w:t xml:space="preserve">                                                                                  </w:t>
      </w:r>
      <w:r w:rsidR="002D5903" w:rsidRPr="00C70E1A">
        <w:rPr>
          <w:rFonts w:ascii="Times New Roman" w:hAnsi="Times New Roman"/>
          <w:b/>
          <w:i/>
        </w:rPr>
        <w:t>тис.</w:t>
      </w:r>
      <w:r w:rsidR="00C70E1A">
        <w:rPr>
          <w:rFonts w:ascii="Times New Roman" w:hAnsi="Times New Roman"/>
          <w:b/>
          <w:i/>
        </w:rPr>
        <w:t xml:space="preserve"> </w:t>
      </w:r>
      <w:proofErr w:type="spellStart"/>
      <w:r w:rsidR="002D5903" w:rsidRPr="00C70E1A">
        <w:rPr>
          <w:rFonts w:ascii="Times New Roman" w:hAnsi="Times New Roman"/>
          <w:b/>
          <w:i/>
        </w:rPr>
        <w:t>грн</w:t>
      </w:r>
      <w:proofErr w:type="spellEnd"/>
    </w:p>
    <w:p w:rsidR="00134F46" w:rsidRPr="000A164E" w:rsidRDefault="00134F46" w:rsidP="00134F46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164E"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2771775" cy="3143250"/>
            <wp:effectExtent l="19050" t="0" r="9525" b="0"/>
            <wp:docPr id="2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5434E" w:rsidRPr="000A164E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              </w:t>
      </w:r>
      <w:r w:rsidR="0085434E" w:rsidRPr="000A164E"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2752725" cy="3143250"/>
            <wp:effectExtent l="19050" t="0" r="9525" b="0"/>
            <wp:docPr id="13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1CBB" w:rsidRPr="00104888" w:rsidRDefault="00FB1CBB" w:rsidP="00FB1C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104888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________________________________________________________________________________________________</w:t>
      </w:r>
    </w:p>
    <w:p w:rsidR="00875FE1" w:rsidRPr="0071549E" w:rsidRDefault="00721084" w:rsidP="00EF70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04888">
        <w:rPr>
          <w:rFonts w:ascii="Times New Roman" w:hAnsi="Times New Roman"/>
          <w:sz w:val="18"/>
          <w:szCs w:val="18"/>
        </w:rPr>
        <w:t xml:space="preserve">* У цьому аналізі використані дані показників фінансових планів комунальних підприємств та фінансової звітності  (Ф№1, Ф№2 за 2017 – 2019 </w:t>
      </w:r>
      <w:proofErr w:type="spellStart"/>
      <w:r w:rsidRPr="00104888">
        <w:rPr>
          <w:rFonts w:ascii="Times New Roman" w:hAnsi="Times New Roman"/>
          <w:sz w:val="18"/>
          <w:szCs w:val="18"/>
        </w:rPr>
        <w:t>р.р</w:t>
      </w:r>
      <w:proofErr w:type="spellEnd"/>
      <w:r w:rsidRPr="00104888">
        <w:rPr>
          <w:rFonts w:ascii="Times New Roman" w:hAnsi="Times New Roman"/>
          <w:sz w:val="18"/>
          <w:szCs w:val="18"/>
        </w:rPr>
        <w:t>.), що були надані 32-м</w:t>
      </w:r>
      <w:r w:rsidR="00104888" w:rsidRPr="00104888">
        <w:rPr>
          <w:rFonts w:ascii="Times New Roman" w:hAnsi="Times New Roman"/>
          <w:sz w:val="18"/>
          <w:szCs w:val="18"/>
        </w:rPr>
        <w:t>а</w:t>
      </w:r>
      <w:r w:rsidRPr="00104888">
        <w:rPr>
          <w:rFonts w:ascii="Times New Roman" w:hAnsi="Times New Roman"/>
          <w:sz w:val="18"/>
          <w:szCs w:val="18"/>
        </w:rPr>
        <w:t xml:space="preserve"> підприємств</w:t>
      </w:r>
      <w:r w:rsidR="00104888" w:rsidRPr="00104888">
        <w:rPr>
          <w:rFonts w:ascii="Times New Roman" w:hAnsi="Times New Roman"/>
          <w:sz w:val="18"/>
          <w:szCs w:val="18"/>
        </w:rPr>
        <w:t>ами</w:t>
      </w:r>
      <w:r w:rsidRPr="00104888">
        <w:rPr>
          <w:rFonts w:ascii="Times New Roman" w:hAnsi="Times New Roman"/>
          <w:sz w:val="18"/>
          <w:szCs w:val="18"/>
        </w:rPr>
        <w:t xml:space="preserve"> комунальної форми власності м. Миколаєва за виключенням </w:t>
      </w:r>
      <w:proofErr w:type="spellStart"/>
      <w:r w:rsidRPr="00104888">
        <w:rPr>
          <w:rFonts w:ascii="Times New Roman" w:hAnsi="Times New Roman"/>
          <w:sz w:val="18"/>
          <w:szCs w:val="18"/>
        </w:rPr>
        <w:t>КП</w:t>
      </w:r>
      <w:proofErr w:type="spellEnd"/>
      <w:r w:rsidRPr="00104888">
        <w:rPr>
          <w:rFonts w:ascii="Times New Roman" w:hAnsi="Times New Roman"/>
          <w:sz w:val="18"/>
          <w:szCs w:val="18"/>
        </w:rPr>
        <w:t xml:space="preserve"> «Дорога».</w:t>
      </w:r>
    </w:p>
    <w:sectPr w:rsidR="00875FE1" w:rsidRPr="0071549E" w:rsidSect="001C3D6E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7C"/>
    <w:multiLevelType w:val="hybridMultilevel"/>
    <w:tmpl w:val="0F14D018"/>
    <w:lvl w:ilvl="0" w:tplc="DC904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78F"/>
    <w:rsid w:val="000000BD"/>
    <w:rsid w:val="000151BF"/>
    <w:rsid w:val="000153BE"/>
    <w:rsid w:val="00016453"/>
    <w:rsid w:val="00024502"/>
    <w:rsid w:val="00025851"/>
    <w:rsid w:val="0002791E"/>
    <w:rsid w:val="00040F9C"/>
    <w:rsid w:val="00042EEA"/>
    <w:rsid w:val="00046E0A"/>
    <w:rsid w:val="000512AC"/>
    <w:rsid w:val="000547BF"/>
    <w:rsid w:val="00057C83"/>
    <w:rsid w:val="000671BB"/>
    <w:rsid w:val="00067B26"/>
    <w:rsid w:val="00073462"/>
    <w:rsid w:val="00075AC7"/>
    <w:rsid w:val="00076246"/>
    <w:rsid w:val="0007658E"/>
    <w:rsid w:val="000804FB"/>
    <w:rsid w:val="0008075D"/>
    <w:rsid w:val="00093415"/>
    <w:rsid w:val="000A0E36"/>
    <w:rsid w:val="000A164E"/>
    <w:rsid w:val="000A1926"/>
    <w:rsid w:val="000C1C0D"/>
    <w:rsid w:val="000C1CEE"/>
    <w:rsid w:val="000C5561"/>
    <w:rsid w:val="000D0B7F"/>
    <w:rsid w:val="000D4455"/>
    <w:rsid w:val="000D4BAB"/>
    <w:rsid w:val="000E58A8"/>
    <w:rsid w:val="000F62DA"/>
    <w:rsid w:val="0010242C"/>
    <w:rsid w:val="00104888"/>
    <w:rsid w:val="0010623A"/>
    <w:rsid w:val="00111A8D"/>
    <w:rsid w:val="00116377"/>
    <w:rsid w:val="0012128B"/>
    <w:rsid w:val="001224E4"/>
    <w:rsid w:val="00127349"/>
    <w:rsid w:val="001324E9"/>
    <w:rsid w:val="00134830"/>
    <w:rsid w:val="00134F46"/>
    <w:rsid w:val="00135C9F"/>
    <w:rsid w:val="00142B3B"/>
    <w:rsid w:val="00144240"/>
    <w:rsid w:val="00145DA3"/>
    <w:rsid w:val="001525EB"/>
    <w:rsid w:val="001555E7"/>
    <w:rsid w:val="001701FB"/>
    <w:rsid w:val="0017589B"/>
    <w:rsid w:val="001813A6"/>
    <w:rsid w:val="0018395D"/>
    <w:rsid w:val="00183DDC"/>
    <w:rsid w:val="00186035"/>
    <w:rsid w:val="0018636B"/>
    <w:rsid w:val="00186524"/>
    <w:rsid w:val="001873F6"/>
    <w:rsid w:val="00190C79"/>
    <w:rsid w:val="001946A5"/>
    <w:rsid w:val="00194EAA"/>
    <w:rsid w:val="00194F44"/>
    <w:rsid w:val="001975AE"/>
    <w:rsid w:val="001A3EF7"/>
    <w:rsid w:val="001A5C10"/>
    <w:rsid w:val="001A7011"/>
    <w:rsid w:val="001A7B0D"/>
    <w:rsid w:val="001B0003"/>
    <w:rsid w:val="001B2DF3"/>
    <w:rsid w:val="001B3712"/>
    <w:rsid w:val="001B5AB3"/>
    <w:rsid w:val="001B5EE7"/>
    <w:rsid w:val="001B7CF9"/>
    <w:rsid w:val="001C2C6C"/>
    <w:rsid w:val="001C3D6E"/>
    <w:rsid w:val="001C45B0"/>
    <w:rsid w:val="001D0D95"/>
    <w:rsid w:val="001D1BE2"/>
    <w:rsid w:val="001D31F1"/>
    <w:rsid w:val="001D463E"/>
    <w:rsid w:val="001F0933"/>
    <w:rsid w:val="001F40A9"/>
    <w:rsid w:val="001F547A"/>
    <w:rsid w:val="00205EA8"/>
    <w:rsid w:val="002122DE"/>
    <w:rsid w:val="00212783"/>
    <w:rsid w:val="00215B03"/>
    <w:rsid w:val="00226778"/>
    <w:rsid w:val="00227718"/>
    <w:rsid w:val="00227B3A"/>
    <w:rsid w:val="00231354"/>
    <w:rsid w:val="00232AD3"/>
    <w:rsid w:val="00240524"/>
    <w:rsid w:val="002454F9"/>
    <w:rsid w:val="00252FB1"/>
    <w:rsid w:val="00254F23"/>
    <w:rsid w:val="00257B86"/>
    <w:rsid w:val="00260090"/>
    <w:rsid w:val="002704F2"/>
    <w:rsid w:val="002705F9"/>
    <w:rsid w:val="00273A72"/>
    <w:rsid w:val="00273E16"/>
    <w:rsid w:val="002751C3"/>
    <w:rsid w:val="002776A3"/>
    <w:rsid w:val="00285900"/>
    <w:rsid w:val="0028685C"/>
    <w:rsid w:val="002A431A"/>
    <w:rsid w:val="002A5880"/>
    <w:rsid w:val="002A7C4E"/>
    <w:rsid w:val="002B421D"/>
    <w:rsid w:val="002C021A"/>
    <w:rsid w:val="002C070F"/>
    <w:rsid w:val="002C4030"/>
    <w:rsid w:val="002C788E"/>
    <w:rsid w:val="002D230E"/>
    <w:rsid w:val="002D5903"/>
    <w:rsid w:val="002E1C90"/>
    <w:rsid w:val="002E37A0"/>
    <w:rsid w:val="002E3C0E"/>
    <w:rsid w:val="002E7C44"/>
    <w:rsid w:val="002F31DE"/>
    <w:rsid w:val="003159D1"/>
    <w:rsid w:val="00315B84"/>
    <w:rsid w:val="00317346"/>
    <w:rsid w:val="003200D1"/>
    <w:rsid w:val="003242B5"/>
    <w:rsid w:val="00327856"/>
    <w:rsid w:val="00330A04"/>
    <w:rsid w:val="00337A89"/>
    <w:rsid w:val="00344308"/>
    <w:rsid w:val="00344DA0"/>
    <w:rsid w:val="00346427"/>
    <w:rsid w:val="00351DF4"/>
    <w:rsid w:val="00353DEC"/>
    <w:rsid w:val="003565D6"/>
    <w:rsid w:val="00360905"/>
    <w:rsid w:val="00360BE3"/>
    <w:rsid w:val="00360C61"/>
    <w:rsid w:val="00361AC3"/>
    <w:rsid w:val="00372464"/>
    <w:rsid w:val="00390D60"/>
    <w:rsid w:val="0039349A"/>
    <w:rsid w:val="003B0038"/>
    <w:rsid w:val="003B14D7"/>
    <w:rsid w:val="003C2D0D"/>
    <w:rsid w:val="003C35B8"/>
    <w:rsid w:val="003C3898"/>
    <w:rsid w:val="003C3C0F"/>
    <w:rsid w:val="003C74C2"/>
    <w:rsid w:val="003C78A6"/>
    <w:rsid w:val="003D07E3"/>
    <w:rsid w:val="003E1423"/>
    <w:rsid w:val="003E3B24"/>
    <w:rsid w:val="003E4410"/>
    <w:rsid w:val="003E46BF"/>
    <w:rsid w:val="003E6585"/>
    <w:rsid w:val="003F1EEA"/>
    <w:rsid w:val="003F3066"/>
    <w:rsid w:val="003F3F3B"/>
    <w:rsid w:val="00403C89"/>
    <w:rsid w:val="0040449F"/>
    <w:rsid w:val="00404F0A"/>
    <w:rsid w:val="004073AE"/>
    <w:rsid w:val="00407602"/>
    <w:rsid w:val="004141B0"/>
    <w:rsid w:val="004143FC"/>
    <w:rsid w:val="00417981"/>
    <w:rsid w:val="004225E9"/>
    <w:rsid w:val="00422B90"/>
    <w:rsid w:val="004239D6"/>
    <w:rsid w:val="004279A8"/>
    <w:rsid w:val="00430BB2"/>
    <w:rsid w:val="00431110"/>
    <w:rsid w:val="0043245E"/>
    <w:rsid w:val="00433139"/>
    <w:rsid w:val="00434452"/>
    <w:rsid w:val="00441934"/>
    <w:rsid w:val="0045061A"/>
    <w:rsid w:val="00457B90"/>
    <w:rsid w:val="00462FD1"/>
    <w:rsid w:val="00464605"/>
    <w:rsid w:val="00467832"/>
    <w:rsid w:val="004678F3"/>
    <w:rsid w:val="0047017E"/>
    <w:rsid w:val="0048304C"/>
    <w:rsid w:val="004879C8"/>
    <w:rsid w:val="00494745"/>
    <w:rsid w:val="004A15F8"/>
    <w:rsid w:val="004A2552"/>
    <w:rsid w:val="004A4055"/>
    <w:rsid w:val="004B1627"/>
    <w:rsid w:val="004B613A"/>
    <w:rsid w:val="004C7432"/>
    <w:rsid w:val="004C7755"/>
    <w:rsid w:val="004D089B"/>
    <w:rsid w:val="004D27C8"/>
    <w:rsid w:val="004E0AEC"/>
    <w:rsid w:val="004E13F6"/>
    <w:rsid w:val="004F1EC9"/>
    <w:rsid w:val="004F220E"/>
    <w:rsid w:val="004F345E"/>
    <w:rsid w:val="004F419C"/>
    <w:rsid w:val="004F6597"/>
    <w:rsid w:val="004F7051"/>
    <w:rsid w:val="00504216"/>
    <w:rsid w:val="0050547D"/>
    <w:rsid w:val="00510E37"/>
    <w:rsid w:val="00515935"/>
    <w:rsid w:val="005213BF"/>
    <w:rsid w:val="00524685"/>
    <w:rsid w:val="00530480"/>
    <w:rsid w:val="0053364C"/>
    <w:rsid w:val="00533E14"/>
    <w:rsid w:val="005351C3"/>
    <w:rsid w:val="00542222"/>
    <w:rsid w:val="0054420D"/>
    <w:rsid w:val="0056083A"/>
    <w:rsid w:val="0057469F"/>
    <w:rsid w:val="00576042"/>
    <w:rsid w:val="005800B0"/>
    <w:rsid w:val="00581F59"/>
    <w:rsid w:val="005878B8"/>
    <w:rsid w:val="00590481"/>
    <w:rsid w:val="005960C3"/>
    <w:rsid w:val="00597A62"/>
    <w:rsid w:val="005A38DD"/>
    <w:rsid w:val="005B4BB9"/>
    <w:rsid w:val="005B5929"/>
    <w:rsid w:val="005B7D7F"/>
    <w:rsid w:val="005D4981"/>
    <w:rsid w:val="005D4F1C"/>
    <w:rsid w:val="005D6662"/>
    <w:rsid w:val="005E1AA8"/>
    <w:rsid w:val="005E2BA5"/>
    <w:rsid w:val="005F4F36"/>
    <w:rsid w:val="005F6941"/>
    <w:rsid w:val="005F6E36"/>
    <w:rsid w:val="00603A24"/>
    <w:rsid w:val="00604B76"/>
    <w:rsid w:val="00607D77"/>
    <w:rsid w:val="006214D1"/>
    <w:rsid w:val="0062488C"/>
    <w:rsid w:val="00625121"/>
    <w:rsid w:val="00626B2E"/>
    <w:rsid w:val="00627DB9"/>
    <w:rsid w:val="00641685"/>
    <w:rsid w:val="00646C2B"/>
    <w:rsid w:val="00647452"/>
    <w:rsid w:val="00651FD0"/>
    <w:rsid w:val="0065428D"/>
    <w:rsid w:val="006629C8"/>
    <w:rsid w:val="00663404"/>
    <w:rsid w:val="0066612D"/>
    <w:rsid w:val="00680323"/>
    <w:rsid w:val="00683D31"/>
    <w:rsid w:val="00697475"/>
    <w:rsid w:val="00697DA4"/>
    <w:rsid w:val="006B5343"/>
    <w:rsid w:val="006B556A"/>
    <w:rsid w:val="006D0F80"/>
    <w:rsid w:val="006D11E9"/>
    <w:rsid w:val="006D592D"/>
    <w:rsid w:val="006D6492"/>
    <w:rsid w:val="006F2633"/>
    <w:rsid w:val="006F3913"/>
    <w:rsid w:val="006F51D6"/>
    <w:rsid w:val="006F77AE"/>
    <w:rsid w:val="0070704C"/>
    <w:rsid w:val="0071343E"/>
    <w:rsid w:val="00713E22"/>
    <w:rsid w:val="00714054"/>
    <w:rsid w:val="0071549E"/>
    <w:rsid w:val="00721084"/>
    <w:rsid w:val="00722D07"/>
    <w:rsid w:val="007268C3"/>
    <w:rsid w:val="00730E50"/>
    <w:rsid w:val="007507CF"/>
    <w:rsid w:val="007511F5"/>
    <w:rsid w:val="0075376B"/>
    <w:rsid w:val="0076187F"/>
    <w:rsid w:val="00762C7A"/>
    <w:rsid w:val="007635E2"/>
    <w:rsid w:val="00765920"/>
    <w:rsid w:val="00765AD5"/>
    <w:rsid w:val="007705F8"/>
    <w:rsid w:val="00784DAC"/>
    <w:rsid w:val="00785F3A"/>
    <w:rsid w:val="007A5A33"/>
    <w:rsid w:val="007B00A2"/>
    <w:rsid w:val="007B19A5"/>
    <w:rsid w:val="007B4C6B"/>
    <w:rsid w:val="007B57B0"/>
    <w:rsid w:val="007C6171"/>
    <w:rsid w:val="007C6BF7"/>
    <w:rsid w:val="007D031A"/>
    <w:rsid w:val="007D681F"/>
    <w:rsid w:val="007D7065"/>
    <w:rsid w:val="007D7CA2"/>
    <w:rsid w:val="007E0DF2"/>
    <w:rsid w:val="007F2005"/>
    <w:rsid w:val="007F382E"/>
    <w:rsid w:val="007F3ECA"/>
    <w:rsid w:val="007F4470"/>
    <w:rsid w:val="007F739C"/>
    <w:rsid w:val="007F7874"/>
    <w:rsid w:val="00802EF3"/>
    <w:rsid w:val="00823089"/>
    <w:rsid w:val="008230B6"/>
    <w:rsid w:val="00824A54"/>
    <w:rsid w:val="00824B08"/>
    <w:rsid w:val="00831ED9"/>
    <w:rsid w:val="00851657"/>
    <w:rsid w:val="0085434E"/>
    <w:rsid w:val="00855320"/>
    <w:rsid w:val="008566F4"/>
    <w:rsid w:val="0085742C"/>
    <w:rsid w:val="00857969"/>
    <w:rsid w:val="00862472"/>
    <w:rsid w:val="00862B79"/>
    <w:rsid w:val="00864419"/>
    <w:rsid w:val="00865CEC"/>
    <w:rsid w:val="008717BE"/>
    <w:rsid w:val="00871BBE"/>
    <w:rsid w:val="00873BE8"/>
    <w:rsid w:val="00873DD1"/>
    <w:rsid w:val="00875FE1"/>
    <w:rsid w:val="00876ED3"/>
    <w:rsid w:val="008858DE"/>
    <w:rsid w:val="0088610C"/>
    <w:rsid w:val="00895A65"/>
    <w:rsid w:val="00896112"/>
    <w:rsid w:val="0089623D"/>
    <w:rsid w:val="008A03AA"/>
    <w:rsid w:val="008A2B32"/>
    <w:rsid w:val="008A5B0A"/>
    <w:rsid w:val="008A7A8F"/>
    <w:rsid w:val="008B2241"/>
    <w:rsid w:val="008B278E"/>
    <w:rsid w:val="008B478F"/>
    <w:rsid w:val="008C68C4"/>
    <w:rsid w:val="008C7EDA"/>
    <w:rsid w:val="008D338C"/>
    <w:rsid w:val="008D5020"/>
    <w:rsid w:val="008E2C00"/>
    <w:rsid w:val="008E5B24"/>
    <w:rsid w:val="008E6275"/>
    <w:rsid w:val="008E729B"/>
    <w:rsid w:val="008F1B2E"/>
    <w:rsid w:val="00902F30"/>
    <w:rsid w:val="00911D45"/>
    <w:rsid w:val="009152F5"/>
    <w:rsid w:val="00916DF9"/>
    <w:rsid w:val="00917C89"/>
    <w:rsid w:val="009252C9"/>
    <w:rsid w:val="009278AA"/>
    <w:rsid w:val="009307A1"/>
    <w:rsid w:val="009313CF"/>
    <w:rsid w:val="00935028"/>
    <w:rsid w:val="009379CB"/>
    <w:rsid w:val="00942273"/>
    <w:rsid w:val="0094532E"/>
    <w:rsid w:val="009517FB"/>
    <w:rsid w:val="009524D3"/>
    <w:rsid w:val="00953D22"/>
    <w:rsid w:val="00954795"/>
    <w:rsid w:val="00962F4E"/>
    <w:rsid w:val="00963A8D"/>
    <w:rsid w:val="00967D75"/>
    <w:rsid w:val="00967E80"/>
    <w:rsid w:val="009712CC"/>
    <w:rsid w:val="00972A12"/>
    <w:rsid w:val="00975E6B"/>
    <w:rsid w:val="00977182"/>
    <w:rsid w:val="00993193"/>
    <w:rsid w:val="00993A3E"/>
    <w:rsid w:val="009A1BE0"/>
    <w:rsid w:val="009B09F9"/>
    <w:rsid w:val="009B24C5"/>
    <w:rsid w:val="009B4C82"/>
    <w:rsid w:val="009B5573"/>
    <w:rsid w:val="009C05BE"/>
    <w:rsid w:val="009C13A3"/>
    <w:rsid w:val="009C1829"/>
    <w:rsid w:val="009C45A1"/>
    <w:rsid w:val="009D22A3"/>
    <w:rsid w:val="009D3FD9"/>
    <w:rsid w:val="009E19FD"/>
    <w:rsid w:val="009F3351"/>
    <w:rsid w:val="009F3953"/>
    <w:rsid w:val="00A1002A"/>
    <w:rsid w:val="00A178CE"/>
    <w:rsid w:val="00A24F5B"/>
    <w:rsid w:val="00A31853"/>
    <w:rsid w:val="00A330D8"/>
    <w:rsid w:val="00A33872"/>
    <w:rsid w:val="00A34E5E"/>
    <w:rsid w:val="00A3528C"/>
    <w:rsid w:val="00A500F6"/>
    <w:rsid w:val="00A53E5D"/>
    <w:rsid w:val="00A61B4F"/>
    <w:rsid w:val="00A64A6F"/>
    <w:rsid w:val="00A64CCB"/>
    <w:rsid w:val="00A74819"/>
    <w:rsid w:val="00A863B1"/>
    <w:rsid w:val="00A94FC9"/>
    <w:rsid w:val="00A95247"/>
    <w:rsid w:val="00A970F9"/>
    <w:rsid w:val="00A97BF2"/>
    <w:rsid w:val="00AA0657"/>
    <w:rsid w:val="00AA0DA1"/>
    <w:rsid w:val="00AA189B"/>
    <w:rsid w:val="00AA1F3A"/>
    <w:rsid w:val="00AA5CDB"/>
    <w:rsid w:val="00AA5FC8"/>
    <w:rsid w:val="00AB7B1D"/>
    <w:rsid w:val="00AC4E8C"/>
    <w:rsid w:val="00AC58EA"/>
    <w:rsid w:val="00AC6FBF"/>
    <w:rsid w:val="00AC7911"/>
    <w:rsid w:val="00AD2274"/>
    <w:rsid w:val="00AD3FA6"/>
    <w:rsid w:val="00AE4ADC"/>
    <w:rsid w:val="00AE5971"/>
    <w:rsid w:val="00AE7567"/>
    <w:rsid w:val="00AF5A87"/>
    <w:rsid w:val="00AF67FF"/>
    <w:rsid w:val="00AF6DA5"/>
    <w:rsid w:val="00B126B1"/>
    <w:rsid w:val="00B1402D"/>
    <w:rsid w:val="00B15E09"/>
    <w:rsid w:val="00B20355"/>
    <w:rsid w:val="00B228B3"/>
    <w:rsid w:val="00B26B36"/>
    <w:rsid w:val="00B30DCB"/>
    <w:rsid w:val="00B32106"/>
    <w:rsid w:val="00B44780"/>
    <w:rsid w:val="00B53A97"/>
    <w:rsid w:val="00B61D06"/>
    <w:rsid w:val="00B6237E"/>
    <w:rsid w:val="00B676FB"/>
    <w:rsid w:val="00B7186D"/>
    <w:rsid w:val="00B723C6"/>
    <w:rsid w:val="00B73B43"/>
    <w:rsid w:val="00B828C6"/>
    <w:rsid w:val="00B84A20"/>
    <w:rsid w:val="00B85D30"/>
    <w:rsid w:val="00B8643C"/>
    <w:rsid w:val="00BB2620"/>
    <w:rsid w:val="00BB36E2"/>
    <w:rsid w:val="00BC29D6"/>
    <w:rsid w:val="00BC2DD9"/>
    <w:rsid w:val="00BC54F9"/>
    <w:rsid w:val="00BD14E7"/>
    <w:rsid w:val="00BD3CFF"/>
    <w:rsid w:val="00BD5D3F"/>
    <w:rsid w:val="00BE77AF"/>
    <w:rsid w:val="00BF324F"/>
    <w:rsid w:val="00C00DA7"/>
    <w:rsid w:val="00C02593"/>
    <w:rsid w:val="00C1282D"/>
    <w:rsid w:val="00C1508F"/>
    <w:rsid w:val="00C303B0"/>
    <w:rsid w:val="00C30E25"/>
    <w:rsid w:val="00C31F55"/>
    <w:rsid w:val="00C335F7"/>
    <w:rsid w:val="00C405DF"/>
    <w:rsid w:val="00C40B6D"/>
    <w:rsid w:val="00C437E2"/>
    <w:rsid w:val="00C43EB9"/>
    <w:rsid w:val="00C52175"/>
    <w:rsid w:val="00C56276"/>
    <w:rsid w:val="00C57B32"/>
    <w:rsid w:val="00C6004B"/>
    <w:rsid w:val="00C6098D"/>
    <w:rsid w:val="00C70E1A"/>
    <w:rsid w:val="00C7490D"/>
    <w:rsid w:val="00C824BC"/>
    <w:rsid w:val="00C85830"/>
    <w:rsid w:val="00C86B5E"/>
    <w:rsid w:val="00C94D49"/>
    <w:rsid w:val="00CA08CF"/>
    <w:rsid w:val="00CA0B77"/>
    <w:rsid w:val="00CA4EFE"/>
    <w:rsid w:val="00CA5457"/>
    <w:rsid w:val="00CA6866"/>
    <w:rsid w:val="00CA69F6"/>
    <w:rsid w:val="00CB0B05"/>
    <w:rsid w:val="00CB20D2"/>
    <w:rsid w:val="00CB5587"/>
    <w:rsid w:val="00CB7C02"/>
    <w:rsid w:val="00CC0C39"/>
    <w:rsid w:val="00CC3E22"/>
    <w:rsid w:val="00CC4EA3"/>
    <w:rsid w:val="00CC7428"/>
    <w:rsid w:val="00CD59BC"/>
    <w:rsid w:val="00CE650B"/>
    <w:rsid w:val="00CE650D"/>
    <w:rsid w:val="00CE6DA2"/>
    <w:rsid w:val="00D001B7"/>
    <w:rsid w:val="00D01FDF"/>
    <w:rsid w:val="00D04988"/>
    <w:rsid w:val="00D1327F"/>
    <w:rsid w:val="00D2200B"/>
    <w:rsid w:val="00D24A87"/>
    <w:rsid w:val="00D344B7"/>
    <w:rsid w:val="00D35CC7"/>
    <w:rsid w:val="00D361DC"/>
    <w:rsid w:val="00D40880"/>
    <w:rsid w:val="00D41996"/>
    <w:rsid w:val="00D42876"/>
    <w:rsid w:val="00D50906"/>
    <w:rsid w:val="00D571D7"/>
    <w:rsid w:val="00D602AC"/>
    <w:rsid w:val="00D6388B"/>
    <w:rsid w:val="00D6463C"/>
    <w:rsid w:val="00D76FE5"/>
    <w:rsid w:val="00D824FF"/>
    <w:rsid w:val="00D96684"/>
    <w:rsid w:val="00DA712A"/>
    <w:rsid w:val="00DA7D73"/>
    <w:rsid w:val="00DB5D5D"/>
    <w:rsid w:val="00DB6E08"/>
    <w:rsid w:val="00DC050D"/>
    <w:rsid w:val="00DC1743"/>
    <w:rsid w:val="00DD0E9A"/>
    <w:rsid w:val="00DD128E"/>
    <w:rsid w:val="00DD2506"/>
    <w:rsid w:val="00DD2DAD"/>
    <w:rsid w:val="00DE36B3"/>
    <w:rsid w:val="00DE6091"/>
    <w:rsid w:val="00DE7991"/>
    <w:rsid w:val="00DF0B6C"/>
    <w:rsid w:val="00DF1164"/>
    <w:rsid w:val="00E03AC0"/>
    <w:rsid w:val="00E058EB"/>
    <w:rsid w:val="00E1241D"/>
    <w:rsid w:val="00E12E8A"/>
    <w:rsid w:val="00E17975"/>
    <w:rsid w:val="00E204A0"/>
    <w:rsid w:val="00E30DA3"/>
    <w:rsid w:val="00E31A7E"/>
    <w:rsid w:val="00E3376E"/>
    <w:rsid w:val="00E34132"/>
    <w:rsid w:val="00E3503A"/>
    <w:rsid w:val="00E40EA0"/>
    <w:rsid w:val="00E50AA0"/>
    <w:rsid w:val="00E6231B"/>
    <w:rsid w:val="00E736DC"/>
    <w:rsid w:val="00E76E5D"/>
    <w:rsid w:val="00E9082B"/>
    <w:rsid w:val="00E9329F"/>
    <w:rsid w:val="00E9356F"/>
    <w:rsid w:val="00EA4242"/>
    <w:rsid w:val="00EA6363"/>
    <w:rsid w:val="00EA6FD6"/>
    <w:rsid w:val="00EB1943"/>
    <w:rsid w:val="00EB596E"/>
    <w:rsid w:val="00EC23FC"/>
    <w:rsid w:val="00EC6B73"/>
    <w:rsid w:val="00ED4FC5"/>
    <w:rsid w:val="00EF70A3"/>
    <w:rsid w:val="00F02FC1"/>
    <w:rsid w:val="00F06096"/>
    <w:rsid w:val="00F11796"/>
    <w:rsid w:val="00F12D8F"/>
    <w:rsid w:val="00F15471"/>
    <w:rsid w:val="00F16354"/>
    <w:rsid w:val="00F23455"/>
    <w:rsid w:val="00F2431F"/>
    <w:rsid w:val="00F24A4B"/>
    <w:rsid w:val="00F24C32"/>
    <w:rsid w:val="00F43C13"/>
    <w:rsid w:val="00F50B14"/>
    <w:rsid w:val="00F50E2A"/>
    <w:rsid w:val="00F52491"/>
    <w:rsid w:val="00F532E6"/>
    <w:rsid w:val="00F54FC3"/>
    <w:rsid w:val="00F64CD3"/>
    <w:rsid w:val="00F664EF"/>
    <w:rsid w:val="00F66B80"/>
    <w:rsid w:val="00F6707D"/>
    <w:rsid w:val="00F707B8"/>
    <w:rsid w:val="00F76D2F"/>
    <w:rsid w:val="00F86AE1"/>
    <w:rsid w:val="00F90C35"/>
    <w:rsid w:val="00F94711"/>
    <w:rsid w:val="00FA1A9F"/>
    <w:rsid w:val="00FA27E5"/>
    <w:rsid w:val="00FA3B0A"/>
    <w:rsid w:val="00FB1CBB"/>
    <w:rsid w:val="00FB1FBF"/>
    <w:rsid w:val="00FB7885"/>
    <w:rsid w:val="00FC724B"/>
    <w:rsid w:val="00FD0C7C"/>
    <w:rsid w:val="00FD3035"/>
    <w:rsid w:val="00FD61EF"/>
    <w:rsid w:val="00FE031D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>
        <c:manualLayout>
          <c:layoutTarget val="inner"/>
          <c:xMode val="edge"/>
          <c:yMode val="edge"/>
          <c:x val="0.21378164571534142"/>
          <c:y val="0.23837127501919403"/>
          <c:w val="0.842647936981748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288E-2"/>
                </c:manualLayout>
              </c:layout>
              <c:showVal val="1"/>
            </c:dLbl>
            <c:dLbl>
              <c:idx val="1"/>
              <c:layout>
                <c:manualLayout>
                  <c:x val="-1.4524328249819165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823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903E-3"/>
                  <c:y val="-3.0172315417096008E-3"/>
                </c:manualLayout>
              </c:layout>
              <c:showVal val="1"/>
            </c:dLbl>
            <c:dLbl>
              <c:idx val="1"/>
              <c:layout>
                <c:manualLayout>
                  <c:x val="-0.14346147907982498"/>
                  <c:y val="-8.6920384951881743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3.9055844663016415E-3"/>
                  <c:y val="-6.454372551257188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539348</c:v>
                </c:pt>
                <c:pt idx="1">
                  <c:v>615388</c:v>
                </c:pt>
                <c:pt idx="2">
                  <c:v>724124</c:v>
                </c:pt>
                <c:pt idx="3">
                  <c:v>691527</c:v>
                </c:pt>
              </c:numCache>
            </c:numRef>
          </c:val>
        </c:ser>
        <c:dLbls>
          <c:showVal val="1"/>
        </c:dLbls>
        <c:marker val="1"/>
        <c:axId val="57232768"/>
        <c:axId val="57250944"/>
      </c:lineChart>
      <c:catAx>
        <c:axId val="5723276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57250944"/>
        <c:crosses val="autoZero"/>
        <c:auto val="1"/>
        <c:lblAlgn val="ctr"/>
        <c:lblOffset val="100"/>
        <c:tickLblSkip val="1"/>
        <c:tickMarkSkip val="1"/>
      </c:catAx>
      <c:valAx>
        <c:axId val="57250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57232768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50104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911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showVal val="1"/>
            </c:dLbl>
            <c:dLbl>
              <c:idx val="1"/>
              <c:layout>
                <c:manualLayout>
                  <c:x val="-0.12212662890823327"/>
                  <c:y val="6.9217163072007301E-2"/>
                </c:manualLayout>
              </c:layout>
              <c:showVal val="1"/>
            </c:dLbl>
            <c:dLbl>
              <c:idx val="2"/>
              <c:layout>
                <c:manualLayout>
                  <c:x val="-0.16996749090574423"/>
                  <c:y val="-5.1637186656015827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512520</c:v>
                </c:pt>
                <c:pt idx="1">
                  <c:v>590062</c:v>
                </c:pt>
                <c:pt idx="2">
                  <c:v>645496</c:v>
                </c:pt>
                <c:pt idx="3">
                  <c:v>670731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57285248"/>
        <c:axId val="57323904"/>
      </c:lineChart>
      <c:catAx>
        <c:axId val="5728524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57323904"/>
        <c:crosses val="autoZero"/>
        <c:auto val="1"/>
        <c:lblAlgn val="ctr"/>
        <c:lblOffset val="100"/>
        <c:tickLblSkip val="1"/>
        <c:tickMarkSkip val="1"/>
      </c:catAx>
      <c:valAx>
        <c:axId val="57323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5728524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378164571534147"/>
          <c:y val="0.23837127501919403"/>
          <c:w val="0.842647936981749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15E-2"/>
                </c:manualLayout>
              </c:layout>
              <c:showVal val="1"/>
            </c:dLbl>
            <c:dLbl>
              <c:idx val="1"/>
              <c:layout>
                <c:manualLayout>
                  <c:x val="-1.4524328249819141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8108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-5.3508069276807485E-2"/>
                  <c:y val="-9.963558902963375E-2"/>
                </c:manualLayout>
              </c:layout>
              <c:showVal val="1"/>
            </c:dLbl>
            <c:dLbl>
              <c:idx val="1"/>
              <c:layout>
                <c:manualLayout>
                  <c:x val="-8.3484547130570727E-2"/>
                  <c:y val="-4.8273041956711914E-2"/>
                </c:manualLayout>
              </c:layout>
              <c:showVal val="1"/>
            </c:dLbl>
            <c:dLbl>
              <c:idx val="2"/>
              <c:layout>
                <c:manualLayout>
                  <c:x val="-5.9952592431136632E-2"/>
                  <c:y val="7.4277834835862921E-2"/>
                </c:manualLayout>
              </c:layout>
              <c:showVal val="1"/>
            </c:dLbl>
            <c:dLbl>
              <c:idx val="3"/>
              <c:layout>
                <c:manualLayout>
                  <c:x val="-3.9061079968882011E-3"/>
                  <c:y val="6.589105709612387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52879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46541</c:v>
                </c:pt>
                <c:pt idx="1">
                  <c:v>40241</c:v>
                </c:pt>
                <c:pt idx="2">
                  <c:v>75944</c:v>
                </c:pt>
                <c:pt idx="3">
                  <c:v>52879</c:v>
                </c:pt>
              </c:numCache>
            </c:numRef>
          </c:val>
        </c:ser>
        <c:dLbls>
          <c:showVal val="1"/>
        </c:dLbls>
        <c:marker val="1"/>
        <c:axId val="57452032"/>
        <c:axId val="57453568"/>
      </c:lineChart>
      <c:catAx>
        <c:axId val="5745203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57453568"/>
        <c:crosses val="autoZero"/>
        <c:auto val="1"/>
        <c:lblAlgn val="ctr"/>
        <c:lblOffset val="100"/>
        <c:tickLblSkip val="1"/>
        <c:tickMarkSkip val="1"/>
      </c:catAx>
      <c:valAx>
        <c:axId val="57453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57452032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911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-2.4938619514666006E-2"/>
                  <c:y val="-0.11242230590741374"/>
                </c:manualLayout>
              </c:layout>
              <c:showVal val="1"/>
            </c:dLbl>
            <c:dLbl>
              <c:idx val="1"/>
              <c:layout>
                <c:manualLayout>
                  <c:x val="-3.3237740019339865E-2"/>
                  <c:y val="7.4048080946403902E-2"/>
                </c:manualLayout>
              </c:layout>
              <c:showVal val="1"/>
            </c:dLbl>
            <c:dLbl>
              <c:idx val="2"/>
              <c:layout>
                <c:manualLayout>
                  <c:x val="-6.2365151724455579E-2"/>
                  <c:y val="-8.5453992164023704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-8.343679866103706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3763</c:v>
                </c:pt>
                <c:pt idx="1">
                  <c:v>11478</c:v>
                </c:pt>
                <c:pt idx="2">
                  <c:v>4342</c:v>
                </c:pt>
                <c:pt idx="3">
                  <c:v>7217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58094336"/>
        <c:axId val="58095872"/>
      </c:lineChart>
      <c:catAx>
        <c:axId val="5809433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58095872"/>
        <c:crosses val="autoZero"/>
        <c:auto val="1"/>
        <c:lblAlgn val="ctr"/>
        <c:lblOffset val="100"/>
        <c:tickLblSkip val="1"/>
        <c:tickMarkSkip val="1"/>
      </c:catAx>
      <c:valAx>
        <c:axId val="58095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58094336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autoTitleDeleted val="1"/>
    <c:plotArea>
      <c:layout>
        <c:manualLayout>
          <c:layoutTarget val="inner"/>
          <c:xMode val="edge"/>
          <c:yMode val="edge"/>
          <c:x val="0.1874317267435"/>
          <c:y val="0.23837118186313674"/>
          <c:w val="0.84264793698174922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177E-2"/>
                </c:manualLayout>
              </c:layout>
              <c:showVal val="1"/>
            </c:dLbl>
            <c:dLbl>
              <c:idx val="1"/>
              <c:layout>
                <c:manualLayout>
                  <c:x val="-1.4524328249819149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8136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3159E-3"/>
                  <c:y val="-6.5819163908859224E-2"/>
                </c:manualLayout>
              </c:layout>
              <c:showVal val="1"/>
            </c:dLbl>
            <c:dLbl>
              <c:idx val="1"/>
              <c:layout>
                <c:manualLayout>
                  <c:x val="-5.5802886230917184E-2"/>
                  <c:y val="-6.7596713454297519E-2"/>
                </c:manualLayout>
              </c:layout>
              <c:showVal val="1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showVal val="1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</c:v>
                </c:pt>
                <c:pt idx="1">
                  <c:v>18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</c:ser>
        <c:dLbls>
          <c:showVal val="1"/>
        </c:dLbls>
        <c:marker val="1"/>
        <c:axId val="58613120"/>
        <c:axId val="58803328"/>
      </c:lineChart>
      <c:catAx>
        <c:axId val="5861312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58803328"/>
        <c:crosses val="autoZero"/>
        <c:auto val="1"/>
        <c:lblAlgn val="ctr"/>
        <c:lblOffset val="100"/>
        <c:tickLblSkip val="1"/>
        <c:tickMarkSkip val="1"/>
      </c:catAx>
      <c:valAx>
        <c:axId val="58803328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58613120"/>
        <c:crosses val="autoZero"/>
        <c:crossBetween val="midCat"/>
        <c:majorUnit val="5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9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showVal val="1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showVal val="1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showVal val="1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58595968"/>
        <c:axId val="89375104"/>
      </c:lineChart>
      <c:catAx>
        <c:axId val="5859596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89375104"/>
        <c:crosses val="autoZero"/>
        <c:auto val="1"/>
        <c:lblAlgn val="ctr"/>
        <c:lblOffset val="100"/>
        <c:tickLblSkip val="1"/>
        <c:tickMarkSkip val="1"/>
      </c:catAx>
      <c:valAx>
        <c:axId val="89375104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5859596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0484494316259249"/>
          <c:y val="6.3636472921800913E-2"/>
          <c:w val="0.89515509907666757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9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showVal val="1"/>
            </c:dLbl>
            <c:dLbl>
              <c:idx val="1"/>
              <c:layout>
                <c:manualLayout>
                  <c:x val="-8.3252789277628955E-2"/>
                  <c:y val="5.8177046051061797E-2"/>
                </c:manualLayout>
              </c:layout>
              <c:showVal val="1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809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4988</c:v>
                </c:pt>
                <c:pt idx="1">
                  <c:v>4922</c:v>
                </c:pt>
                <c:pt idx="2">
                  <c:v>4602</c:v>
                </c:pt>
                <c:pt idx="3">
                  <c:v>4499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3187E-2"/>
                  <c:y val="-1.8318029845407893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пів. 2018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96822784"/>
        <c:axId val="96824320"/>
      </c:lineChart>
      <c:catAx>
        <c:axId val="9682278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96824320"/>
        <c:crosses val="autoZero"/>
        <c:auto val="1"/>
        <c:lblAlgn val="ctr"/>
        <c:lblOffset val="100"/>
        <c:tickLblSkip val="1"/>
        <c:tickMarkSkip val="1"/>
      </c:catAx>
      <c:valAx>
        <c:axId val="96824320"/>
        <c:scaling>
          <c:orientation val="minMax"/>
          <c:max val="600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9682278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3.5076800966889456E-2"/>
          <c:y val="6.394738082889341E-2"/>
          <c:w val="0.89930490714804423"/>
          <c:h val="0.1409444987735135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9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122E-2"/>
                </c:manualLayout>
              </c:layout>
              <c:showVal val="1"/>
            </c:dLbl>
            <c:dLbl>
              <c:idx val="1"/>
              <c:layout>
                <c:manualLayout>
                  <c:x val="-1.4524328249819134E-2"/>
                  <c:y val="-5.4954089536222113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809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 2018 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2.7681660899654438E-2"/>
                  <c:y val="-1.2121212121212118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І пів. 2017</c:v>
                </c:pt>
                <c:pt idx="1">
                  <c:v>І пів 2018 </c:v>
                </c:pt>
                <c:pt idx="2">
                  <c:v>І пів. 2019</c:v>
                </c:pt>
                <c:pt idx="3">
                  <c:v>І пів. 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4859</c:v>
                </c:pt>
                <c:pt idx="1">
                  <c:v>6073</c:v>
                </c:pt>
                <c:pt idx="2">
                  <c:v>7996</c:v>
                </c:pt>
                <c:pt idx="3">
                  <c:v>8995</c:v>
                </c:pt>
              </c:numCache>
            </c:numRef>
          </c:val>
        </c:ser>
        <c:dLbls>
          <c:showVal val="1"/>
        </c:dLbls>
        <c:marker val="1"/>
        <c:axId val="98226560"/>
        <c:axId val="98228096"/>
      </c:lineChart>
      <c:catAx>
        <c:axId val="9822656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98228096"/>
        <c:crosses val="autoZero"/>
        <c:auto val="1"/>
        <c:lblAlgn val="ctr"/>
        <c:lblOffset val="100"/>
        <c:tickLblSkip val="1"/>
        <c:tickMarkSkip val="1"/>
      </c:catAx>
      <c:valAx>
        <c:axId val="98228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98226560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4.8822633825578207E-2"/>
          <c:y val="7.5078276980083403E-2"/>
          <c:w val="0.89930490714804423"/>
          <c:h val="0.1409444987735135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CEE5-B64B-4534-B1E0-E6F0AEA1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330</cp:revision>
  <cp:lastPrinted>2020-08-13T11:27:00Z</cp:lastPrinted>
  <dcterms:created xsi:type="dcterms:W3CDTF">2020-08-12T06:36:00Z</dcterms:created>
  <dcterms:modified xsi:type="dcterms:W3CDTF">2020-08-17T08:05:00Z</dcterms:modified>
</cp:coreProperties>
</file>